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C8940">
      <w:pPr>
        <w:keepNext w:val="0"/>
        <w:keepLines w:val="0"/>
        <w:pageBreakBefore w:val="0"/>
        <w:kinsoku/>
        <w:wordWrap/>
        <w:overflowPunct/>
        <w:topLinePunct w:val="0"/>
        <w:autoSpaceDE/>
        <w:bidi w:val="0"/>
        <w:spacing w:beforeLines="0" w:afterLines="0" w:line="560" w:lineRule="exact"/>
        <w:jc w:val="center"/>
        <w:outlineLvl w:val="1"/>
        <w:rPr>
          <w:rFonts w:hint="eastAsia" w:ascii="Times New Roman" w:hAnsi="Times New Roman" w:eastAsia="方正小标宋简体" w:cs="Times New Roman"/>
          <w:b w:val="0"/>
          <w:bCs/>
          <w:color w:val="auto"/>
          <w:sz w:val="44"/>
          <w:szCs w:val="44"/>
        </w:rPr>
      </w:pPr>
    </w:p>
    <w:p w14:paraId="67F10BB8">
      <w:pPr>
        <w:keepNext w:val="0"/>
        <w:keepLines w:val="0"/>
        <w:pageBreakBefore w:val="0"/>
        <w:kinsoku/>
        <w:wordWrap/>
        <w:overflowPunct/>
        <w:topLinePunct w:val="0"/>
        <w:autoSpaceDE/>
        <w:bidi w:val="0"/>
        <w:spacing w:beforeLines="0" w:afterLines="0" w:line="56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rPr>
        <w:t>采矿权注销登记</w:t>
      </w:r>
      <w:r>
        <w:rPr>
          <w:rFonts w:hint="eastAsia" w:ascii="Times New Roman" w:hAnsi="Times New Roman" w:eastAsia="方正小标宋简体" w:cs="Times New Roman"/>
          <w:b w:val="0"/>
          <w:bCs/>
          <w:color w:val="auto"/>
          <w:sz w:val="44"/>
          <w:szCs w:val="44"/>
          <w:lang w:eastAsia="zh-CN"/>
        </w:rPr>
        <w:t>临时</w:t>
      </w:r>
      <w:r>
        <w:rPr>
          <w:rFonts w:hint="eastAsia" w:ascii="Times New Roman" w:hAnsi="Times New Roman" w:eastAsia="方正小标宋简体" w:cs="Times New Roman"/>
          <w:b w:val="0"/>
          <w:bCs/>
          <w:color w:val="auto"/>
          <w:sz w:val="44"/>
          <w:szCs w:val="44"/>
        </w:rPr>
        <w:t>服务指南</w:t>
      </w:r>
    </w:p>
    <w:p w14:paraId="7765E854">
      <w:pPr>
        <w:keepNext w:val="0"/>
        <w:keepLines w:val="0"/>
        <w:pageBreakBefore w:val="0"/>
        <w:kinsoku/>
        <w:wordWrap/>
        <w:overflowPunct/>
        <w:topLinePunct w:val="0"/>
        <w:autoSpaceDE/>
        <w:bidi w:val="0"/>
        <w:snapToGrid w:val="0"/>
        <w:spacing w:line="560" w:lineRule="exact"/>
        <w:ind w:firstLine="643" w:firstLineChars="200"/>
        <w:jc w:val="center"/>
        <w:rPr>
          <w:b/>
          <w:sz w:val="32"/>
          <w:szCs w:val="28"/>
        </w:rPr>
      </w:pPr>
    </w:p>
    <w:p w14:paraId="29E20BEE">
      <w:pPr>
        <w:keepNext w:val="0"/>
        <w:keepLines w:val="0"/>
        <w:pageBreakBefore w:val="0"/>
        <w:kinsoku/>
        <w:wordWrap/>
        <w:overflowPunct/>
        <w:topLinePunct w:val="0"/>
        <w:autoSpaceDE/>
        <w:bidi w:val="0"/>
        <w:snapToGrid w:val="0"/>
        <w:spacing w:line="560" w:lineRule="exact"/>
        <w:ind w:firstLine="640" w:firstLineChars="200"/>
        <w:rPr>
          <w:rFonts w:eastAsia="黑体"/>
          <w:color w:val="auto"/>
          <w:sz w:val="32"/>
          <w:szCs w:val="30"/>
          <w:highlight w:val="none"/>
        </w:rPr>
      </w:pPr>
      <w:r>
        <w:rPr>
          <w:rFonts w:eastAsia="黑体"/>
          <w:color w:val="auto"/>
          <w:sz w:val="32"/>
          <w:szCs w:val="30"/>
          <w:highlight w:val="none"/>
        </w:rPr>
        <w:t>一、适用范围</w:t>
      </w:r>
    </w:p>
    <w:p w14:paraId="17CC4264">
      <w:pPr>
        <w:keepNext w:val="0"/>
        <w:keepLines w:val="0"/>
        <w:pageBreakBefore w:val="0"/>
        <w:kinsoku/>
        <w:wordWrap/>
        <w:overflowPunct/>
        <w:topLinePunct w:val="0"/>
        <w:autoSpaceDE/>
        <w:bidi w:val="0"/>
        <w:spacing w:line="560" w:lineRule="exact"/>
        <w:ind w:firstLine="720" w:firstLineChars="225"/>
        <w:rPr>
          <w:rFonts w:hint="eastAsia" w:eastAsia="仿宋_GB2312"/>
          <w:bCs/>
          <w:color w:val="auto"/>
          <w:sz w:val="32"/>
          <w:szCs w:val="30"/>
          <w:highlight w:val="none"/>
        </w:rPr>
      </w:pPr>
      <w:r>
        <w:rPr>
          <w:rFonts w:hint="eastAsia" w:eastAsia="仿宋_GB2312"/>
          <w:bCs/>
          <w:color w:val="auto"/>
          <w:sz w:val="32"/>
          <w:szCs w:val="32"/>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eastAsia" w:eastAsia="仿宋_GB2312" w:cs="Times New Roman"/>
          <w:bCs/>
          <w:color w:val="auto"/>
          <w:sz w:val="32"/>
          <w:szCs w:val="32"/>
          <w:highlight w:val="none"/>
          <w:lang w:eastAsia="zh-CN"/>
        </w:rPr>
        <w:t>，</w:t>
      </w:r>
      <w:r>
        <w:rPr>
          <w:rFonts w:hint="eastAsia" w:eastAsia="仿宋_GB2312"/>
          <w:bCs/>
          <w:color w:val="auto"/>
          <w:sz w:val="32"/>
          <w:szCs w:val="30"/>
          <w:highlight w:val="none"/>
        </w:rPr>
        <w:t>采矿权注销登记的申请和办理。</w:t>
      </w:r>
    </w:p>
    <w:p w14:paraId="6B9BB341">
      <w:pPr>
        <w:keepNext w:val="0"/>
        <w:keepLines w:val="0"/>
        <w:pageBreakBefore w:val="0"/>
        <w:kinsoku/>
        <w:wordWrap/>
        <w:overflowPunct/>
        <w:topLinePunct w:val="0"/>
        <w:autoSpaceDE/>
        <w:bidi w:val="0"/>
        <w:spacing w:line="560" w:lineRule="exact"/>
        <w:ind w:firstLine="720" w:firstLineChars="225"/>
        <w:rPr>
          <w:rFonts w:hint="eastAsia" w:eastAsia="仿宋_GB2312"/>
          <w:bCs/>
          <w:color w:val="auto"/>
          <w:sz w:val="32"/>
          <w:szCs w:val="32"/>
          <w:highlight w:val="none"/>
        </w:rPr>
      </w:pPr>
      <w:r>
        <w:rPr>
          <w:rFonts w:hint="default" w:eastAsia="仿宋_GB2312"/>
          <w:bCs/>
          <w:color w:val="auto"/>
          <w:sz w:val="32"/>
          <w:szCs w:val="32"/>
          <w:highlight w:val="none"/>
          <w:lang w:val="en-US" w:eastAsia="zh-CN"/>
        </w:rPr>
        <w:t>市级自然资源主管部门负责的具体矿产种类</w:t>
      </w:r>
      <w:r>
        <w:rPr>
          <w:rFonts w:hint="eastAsia" w:eastAsia="仿宋_GB2312"/>
          <w:bCs/>
          <w:color w:val="auto"/>
          <w:sz w:val="32"/>
          <w:szCs w:val="32"/>
          <w:highlight w:val="none"/>
          <w:lang w:val="en-US" w:eastAsia="zh-CN"/>
        </w:rPr>
        <w:t>依据《</w:t>
      </w:r>
      <w:r>
        <w:rPr>
          <w:rFonts w:hint="default" w:eastAsia="仿宋_GB2312"/>
          <w:bCs/>
          <w:color w:val="auto"/>
          <w:sz w:val="32"/>
          <w:szCs w:val="32"/>
          <w:highlight w:val="none"/>
          <w:lang w:val="en-US" w:eastAsia="zh-CN"/>
        </w:rPr>
        <w:t>安徽省自然资源厅关于深化矿产资源管理改革进一步规范矿产资源勘查开采登记的通知</w:t>
      </w:r>
      <w:r>
        <w:rPr>
          <w:rFonts w:hint="eastAsia" w:eastAsia="仿宋_GB2312"/>
          <w:bCs/>
          <w:color w:val="auto"/>
          <w:sz w:val="32"/>
          <w:szCs w:val="32"/>
          <w:highlight w:val="none"/>
          <w:lang w:val="en-US" w:eastAsia="zh-CN"/>
        </w:rPr>
        <w:t>》</w:t>
      </w:r>
      <w:r>
        <w:rPr>
          <w:rFonts w:hint="default" w:eastAsia="仿宋_GB2312"/>
          <w:bCs/>
          <w:color w:val="auto"/>
          <w:sz w:val="32"/>
          <w:szCs w:val="32"/>
          <w:highlight w:val="none"/>
          <w:lang w:val="en-US" w:eastAsia="zh-CN"/>
        </w:rPr>
        <w:t>（皖自然资规〔2024〕2号）</w:t>
      </w:r>
      <w:r>
        <w:rPr>
          <w:rFonts w:hint="eastAsia" w:eastAsia="仿宋_GB2312"/>
          <w:bCs/>
          <w:color w:val="auto"/>
          <w:sz w:val="32"/>
          <w:szCs w:val="32"/>
          <w:highlight w:val="none"/>
          <w:lang w:val="en-US" w:eastAsia="zh-CN"/>
        </w:rPr>
        <w:t>，自然资源部、省自然资源厅另有新规定的，从其规定。</w:t>
      </w:r>
    </w:p>
    <w:p w14:paraId="0DA866E3">
      <w:pPr>
        <w:keepNext w:val="0"/>
        <w:keepLines w:val="0"/>
        <w:pageBreakBefore w:val="0"/>
        <w:kinsoku/>
        <w:wordWrap/>
        <w:overflowPunct/>
        <w:topLinePunct w:val="0"/>
        <w:autoSpaceDE/>
        <w:bidi w:val="0"/>
        <w:snapToGrid w:val="0"/>
        <w:spacing w:line="560" w:lineRule="exact"/>
        <w:ind w:firstLine="640" w:firstLineChars="200"/>
        <w:rPr>
          <w:rFonts w:eastAsia="黑体"/>
          <w:color w:val="auto"/>
          <w:sz w:val="32"/>
          <w:szCs w:val="30"/>
          <w:highlight w:val="none"/>
        </w:rPr>
      </w:pPr>
      <w:r>
        <w:rPr>
          <w:rFonts w:eastAsia="黑体"/>
          <w:color w:val="auto"/>
          <w:sz w:val="32"/>
          <w:szCs w:val="30"/>
          <w:highlight w:val="none"/>
        </w:rPr>
        <w:t>二、项目信息</w:t>
      </w:r>
    </w:p>
    <w:p w14:paraId="20A5517E">
      <w:pPr>
        <w:keepNext w:val="0"/>
        <w:keepLines w:val="0"/>
        <w:pageBreakBefore w:val="0"/>
        <w:kinsoku/>
        <w:wordWrap/>
        <w:overflowPunct/>
        <w:topLinePunct w:val="0"/>
        <w:autoSpaceDE/>
        <w:bidi w:val="0"/>
        <w:snapToGrid w:val="0"/>
        <w:spacing w:line="560" w:lineRule="exact"/>
        <w:ind w:firstLine="640" w:firstLineChars="200"/>
        <w:rPr>
          <w:rFonts w:hint="eastAsia" w:eastAsia="仿宋_GB2312"/>
          <w:bCs/>
          <w:color w:val="auto"/>
          <w:sz w:val="32"/>
          <w:szCs w:val="30"/>
          <w:highlight w:val="none"/>
        </w:rPr>
      </w:pPr>
      <w:r>
        <w:rPr>
          <w:rFonts w:eastAsia="楷体_GB2312"/>
          <w:bCs/>
          <w:color w:val="auto"/>
          <w:sz w:val="32"/>
          <w:szCs w:val="30"/>
          <w:highlight w:val="none"/>
        </w:rPr>
        <w:t>（一）项目名称：</w:t>
      </w:r>
      <w:r>
        <w:rPr>
          <w:rFonts w:hint="eastAsia" w:eastAsia="仿宋_GB2312"/>
          <w:bCs/>
          <w:color w:val="000000"/>
          <w:sz w:val="32"/>
          <w:szCs w:val="30"/>
          <w:highlight w:val="none"/>
          <w:lang w:eastAsia="zh-CN"/>
        </w:rPr>
        <w:t>不动产</w:t>
      </w:r>
      <w:r>
        <w:rPr>
          <w:rFonts w:hint="eastAsia" w:eastAsia="仿宋_GB2312"/>
          <w:bCs/>
          <w:color w:val="000000"/>
          <w:sz w:val="32"/>
          <w:szCs w:val="30"/>
          <w:highlight w:val="none"/>
          <w:lang w:val="en-US" w:eastAsia="zh-CN"/>
        </w:rPr>
        <w:t>登记（采矿权）</w:t>
      </w:r>
    </w:p>
    <w:p w14:paraId="092D6E78">
      <w:pPr>
        <w:keepNext w:val="0"/>
        <w:keepLines w:val="0"/>
        <w:pageBreakBefore w:val="0"/>
        <w:kinsoku/>
        <w:wordWrap/>
        <w:overflowPunct/>
        <w:topLinePunct w:val="0"/>
        <w:autoSpaceDE/>
        <w:bidi w:val="0"/>
        <w:snapToGrid w:val="0"/>
        <w:spacing w:line="560" w:lineRule="exact"/>
        <w:ind w:firstLine="640" w:firstLineChars="200"/>
        <w:rPr>
          <w:rFonts w:eastAsia="仿宋_GB2312"/>
          <w:bCs/>
          <w:color w:val="auto"/>
          <w:sz w:val="32"/>
          <w:szCs w:val="30"/>
          <w:highlight w:val="none"/>
        </w:rPr>
      </w:pPr>
      <w:r>
        <w:rPr>
          <w:rFonts w:eastAsia="楷体_GB2312"/>
          <w:bCs/>
          <w:color w:val="auto"/>
          <w:sz w:val="32"/>
          <w:szCs w:val="30"/>
          <w:highlight w:val="none"/>
        </w:rPr>
        <w:t>（二）子项名称：</w:t>
      </w:r>
      <w:r>
        <w:rPr>
          <w:rFonts w:eastAsia="仿宋_GB2312"/>
          <w:bCs/>
          <w:color w:val="auto"/>
          <w:sz w:val="32"/>
          <w:szCs w:val="30"/>
          <w:highlight w:val="none"/>
        </w:rPr>
        <w:t>采矿权注销登记</w:t>
      </w:r>
    </w:p>
    <w:p w14:paraId="5E225029">
      <w:pPr>
        <w:keepNext w:val="0"/>
        <w:keepLines w:val="0"/>
        <w:pageBreakBefore w:val="0"/>
        <w:kinsoku/>
        <w:wordWrap/>
        <w:overflowPunct/>
        <w:topLinePunct w:val="0"/>
        <w:autoSpaceDE/>
        <w:bidi w:val="0"/>
        <w:snapToGrid w:val="0"/>
        <w:spacing w:line="560" w:lineRule="exact"/>
        <w:ind w:firstLine="640" w:firstLineChars="200"/>
        <w:rPr>
          <w:rFonts w:eastAsia="仿宋_GB2312"/>
          <w:bCs/>
          <w:color w:val="auto"/>
          <w:sz w:val="32"/>
          <w:szCs w:val="30"/>
          <w:highlight w:val="none"/>
        </w:rPr>
      </w:pPr>
      <w:r>
        <w:rPr>
          <w:rFonts w:eastAsia="楷体_GB2312"/>
          <w:bCs/>
          <w:color w:val="auto"/>
          <w:sz w:val="32"/>
          <w:szCs w:val="30"/>
          <w:highlight w:val="none"/>
        </w:rPr>
        <w:t>（三）</w:t>
      </w:r>
      <w:r>
        <w:rPr>
          <w:rFonts w:hint="eastAsia" w:eastAsia="楷体_GB2312"/>
          <w:bCs/>
          <w:color w:val="auto"/>
          <w:sz w:val="32"/>
          <w:szCs w:val="30"/>
          <w:highlight w:val="none"/>
          <w:lang w:eastAsia="zh-CN"/>
        </w:rPr>
        <w:t>登记</w:t>
      </w:r>
      <w:r>
        <w:rPr>
          <w:rFonts w:eastAsia="楷体_GB2312"/>
          <w:bCs/>
          <w:color w:val="auto"/>
          <w:sz w:val="32"/>
          <w:szCs w:val="30"/>
          <w:highlight w:val="none"/>
        </w:rPr>
        <w:t>类别：</w:t>
      </w:r>
      <w:r>
        <w:rPr>
          <w:rFonts w:hint="default" w:eastAsia="仿宋_GB2312"/>
          <w:bCs/>
          <w:color w:val="auto"/>
          <w:sz w:val="32"/>
          <w:szCs w:val="30"/>
          <w:highlight w:val="none"/>
        </w:rPr>
        <w:t>不动产登记</w:t>
      </w:r>
    </w:p>
    <w:p w14:paraId="20CD4BA0">
      <w:pPr>
        <w:keepNext w:val="0"/>
        <w:keepLines w:val="0"/>
        <w:pageBreakBefore w:val="0"/>
        <w:kinsoku/>
        <w:wordWrap/>
        <w:overflowPunct/>
        <w:topLinePunct w:val="0"/>
        <w:autoSpaceDE/>
        <w:bidi w:val="0"/>
        <w:snapToGrid w:val="0"/>
        <w:spacing w:line="560" w:lineRule="exact"/>
        <w:ind w:firstLine="640" w:firstLineChars="200"/>
        <w:rPr>
          <w:rFonts w:eastAsia="黑体"/>
          <w:color w:val="auto"/>
          <w:sz w:val="32"/>
          <w:szCs w:val="30"/>
          <w:highlight w:val="none"/>
        </w:rPr>
      </w:pPr>
      <w:r>
        <w:rPr>
          <w:rFonts w:eastAsia="黑体"/>
          <w:color w:val="auto"/>
          <w:sz w:val="32"/>
          <w:szCs w:val="30"/>
          <w:highlight w:val="none"/>
        </w:rPr>
        <w:t>三、事项审查类型</w:t>
      </w:r>
    </w:p>
    <w:p w14:paraId="29661749">
      <w:pPr>
        <w:keepNext w:val="0"/>
        <w:keepLines w:val="0"/>
        <w:pageBreakBefore w:val="0"/>
        <w:kinsoku/>
        <w:wordWrap/>
        <w:overflowPunct/>
        <w:topLinePunct w:val="0"/>
        <w:autoSpaceDE/>
        <w:bidi w:val="0"/>
        <w:snapToGrid w:val="0"/>
        <w:spacing w:line="560" w:lineRule="exact"/>
        <w:ind w:firstLine="640" w:firstLineChars="200"/>
        <w:rPr>
          <w:rFonts w:eastAsia="仿宋_GB2312"/>
          <w:bCs/>
          <w:color w:val="auto"/>
          <w:sz w:val="32"/>
          <w:szCs w:val="30"/>
          <w:highlight w:val="none"/>
        </w:rPr>
      </w:pPr>
      <w:r>
        <w:rPr>
          <w:rFonts w:eastAsia="仿宋_GB2312"/>
          <w:bCs/>
          <w:color w:val="auto"/>
          <w:sz w:val="32"/>
          <w:szCs w:val="30"/>
          <w:highlight w:val="none"/>
        </w:rPr>
        <w:t>前审后</w:t>
      </w:r>
      <w:r>
        <w:rPr>
          <w:rFonts w:hint="eastAsia" w:eastAsia="仿宋_GB2312"/>
          <w:bCs/>
          <w:color w:val="auto"/>
          <w:sz w:val="32"/>
          <w:szCs w:val="30"/>
          <w:highlight w:val="none"/>
        </w:rPr>
        <w:t>确认</w:t>
      </w:r>
    </w:p>
    <w:p w14:paraId="5440D844">
      <w:pPr>
        <w:keepNext w:val="0"/>
        <w:keepLines w:val="0"/>
        <w:pageBreakBefore w:val="0"/>
        <w:kinsoku/>
        <w:wordWrap/>
        <w:overflowPunct/>
        <w:topLinePunct w:val="0"/>
        <w:autoSpaceDE/>
        <w:bidi w:val="0"/>
        <w:snapToGrid w:val="0"/>
        <w:spacing w:line="560" w:lineRule="exact"/>
        <w:ind w:firstLine="640" w:firstLineChars="200"/>
        <w:rPr>
          <w:rFonts w:eastAsia="仿宋_GB2312"/>
          <w:bCs/>
          <w:color w:val="auto"/>
          <w:sz w:val="32"/>
          <w:szCs w:val="30"/>
          <w:highlight w:val="none"/>
        </w:rPr>
      </w:pPr>
      <w:r>
        <w:rPr>
          <w:rFonts w:eastAsia="黑体"/>
          <w:color w:val="auto"/>
          <w:sz w:val="32"/>
          <w:szCs w:val="30"/>
          <w:highlight w:val="none"/>
        </w:rPr>
        <w:t>四、</w:t>
      </w:r>
      <w:r>
        <w:rPr>
          <w:rFonts w:hint="eastAsia" w:eastAsia="黑体"/>
          <w:color w:val="auto"/>
          <w:sz w:val="32"/>
          <w:szCs w:val="30"/>
          <w:highlight w:val="none"/>
          <w:lang w:eastAsia="zh-CN"/>
        </w:rPr>
        <w:t>登记</w:t>
      </w:r>
      <w:r>
        <w:rPr>
          <w:rFonts w:eastAsia="黑体"/>
          <w:color w:val="auto"/>
          <w:sz w:val="32"/>
          <w:szCs w:val="30"/>
          <w:highlight w:val="none"/>
        </w:rPr>
        <w:t>依据</w:t>
      </w:r>
    </w:p>
    <w:p w14:paraId="552693B8">
      <w:pPr>
        <w:keepNext w:val="0"/>
        <w:keepLines w:val="0"/>
        <w:pageBreakBefore w:val="0"/>
        <w:kinsoku/>
        <w:wordWrap/>
        <w:overflowPunct/>
        <w:topLinePunct w:val="0"/>
        <w:autoSpaceDE/>
        <w:bidi w:val="0"/>
        <w:snapToGrid w:val="0"/>
        <w:spacing w:line="560" w:lineRule="exact"/>
        <w:ind w:firstLine="640" w:firstLineChars="200"/>
        <w:jc w:val="left"/>
        <w:textAlignment w:val="baseline"/>
        <w:rPr>
          <w:rFonts w:eastAsia="仿宋_GB2312"/>
          <w:sz w:val="32"/>
          <w:szCs w:val="30"/>
          <w:highlight w:val="none"/>
        </w:rPr>
      </w:pPr>
      <w:r>
        <w:rPr>
          <w:rFonts w:hint="eastAsia" w:ascii="仿宋_GB2312" w:eastAsia="仿宋_GB2312"/>
          <w:sz w:val="32"/>
          <w:szCs w:val="30"/>
          <w:highlight w:val="none"/>
        </w:rPr>
        <w:t>《</w:t>
      </w:r>
      <w:r>
        <w:rPr>
          <w:rFonts w:eastAsia="仿宋_GB2312"/>
          <w:sz w:val="32"/>
          <w:szCs w:val="30"/>
          <w:highlight w:val="none"/>
        </w:rPr>
        <w:t>中华人民共和国</w:t>
      </w:r>
      <w:r>
        <w:rPr>
          <w:rFonts w:hint="eastAsia" w:ascii="仿宋_GB2312" w:eastAsia="仿宋_GB2312"/>
          <w:sz w:val="32"/>
          <w:szCs w:val="30"/>
          <w:highlight w:val="none"/>
        </w:rPr>
        <w:t>矿产资源法》</w:t>
      </w:r>
      <w:r>
        <w:rPr>
          <w:rFonts w:ascii="仿宋_GB2312" w:hAnsi="仿宋_GB2312" w:eastAsia="仿宋_GB2312" w:cs="仿宋_GB2312"/>
          <w:sz w:val="32"/>
          <w:szCs w:val="30"/>
          <w:highlight w:val="none"/>
        </w:rPr>
        <w:t>第二十二条</w:t>
      </w:r>
      <w:r>
        <w:rPr>
          <w:rFonts w:hint="eastAsia" w:ascii="仿宋_GB2312" w:eastAsia="仿宋_GB2312"/>
          <w:sz w:val="32"/>
          <w:szCs w:val="30"/>
          <w:highlight w:val="none"/>
        </w:rPr>
        <w:t>第二款“</w:t>
      </w:r>
      <w:r>
        <w:rPr>
          <w:rFonts w:ascii="仿宋_GB2312" w:hAnsi="仿宋_GB2312" w:eastAsia="仿宋_GB2312" w:cs="仿宋_GB2312"/>
          <w:sz w:val="32"/>
          <w:szCs w:val="30"/>
          <w:highlight w:val="none"/>
        </w:rPr>
        <w:t>矿业权变更、转让、抵押和消</w:t>
      </w:r>
      <w:r>
        <w:rPr>
          <w:rFonts w:hint="eastAsia" w:ascii="仿宋_GB2312" w:eastAsia="仿宋_GB2312"/>
          <w:sz w:val="32"/>
          <w:szCs w:val="30"/>
          <w:highlight w:val="none"/>
        </w:rPr>
        <w:t>灭的，应当依法办理登记。”第三款“矿业权的设立、变更、转让、抵押和消灭，经依法登记，发生效力；未经登记，不发生效力，法律另有规定的除外。”</w:t>
      </w:r>
      <w:r>
        <w:rPr>
          <w:rFonts w:ascii="仿宋_GB2312" w:hAnsi="仿宋_GB2312" w:eastAsia="仿宋_GB2312" w:cs="仿宋_GB2312"/>
          <w:sz w:val="32"/>
          <w:szCs w:val="30"/>
          <w:highlight w:val="none"/>
        </w:rPr>
        <w:t>第二十四条</w:t>
      </w:r>
      <w:r>
        <w:rPr>
          <w:rFonts w:eastAsia="仿宋_GB2312"/>
          <w:sz w:val="32"/>
          <w:szCs w:val="30"/>
          <w:highlight w:val="none"/>
        </w:rPr>
        <w:t>第四款“期限届满未申请续期或者依法不予续期的，矿业权消灭。”</w:t>
      </w:r>
    </w:p>
    <w:p w14:paraId="5D674007">
      <w:pPr>
        <w:keepNext w:val="0"/>
        <w:keepLines w:val="0"/>
        <w:pageBreakBefore w:val="0"/>
        <w:kinsoku/>
        <w:wordWrap/>
        <w:overflowPunct/>
        <w:topLinePunct w:val="0"/>
        <w:autoSpaceDE/>
        <w:bidi w:val="0"/>
        <w:snapToGrid w:val="0"/>
        <w:spacing w:line="560" w:lineRule="exact"/>
        <w:ind w:firstLine="640" w:firstLineChars="200"/>
        <w:rPr>
          <w:rFonts w:eastAsia="黑体"/>
          <w:color w:val="auto"/>
          <w:sz w:val="32"/>
          <w:szCs w:val="30"/>
          <w:highlight w:val="none"/>
        </w:rPr>
      </w:pPr>
      <w:r>
        <w:rPr>
          <w:rFonts w:eastAsia="黑体"/>
          <w:color w:val="auto"/>
          <w:sz w:val="32"/>
          <w:szCs w:val="30"/>
          <w:highlight w:val="none"/>
        </w:rPr>
        <w:t>五、受理机构</w:t>
      </w:r>
    </w:p>
    <w:p w14:paraId="7536BB0F">
      <w:pPr>
        <w:keepNext w:val="0"/>
        <w:keepLines w:val="0"/>
        <w:pageBreakBefore w:val="0"/>
        <w:widowControl/>
        <w:kinsoku/>
        <w:wordWrap/>
        <w:overflowPunct/>
        <w:topLinePunct w:val="0"/>
        <w:autoSpaceDE/>
        <w:bidi w:val="0"/>
        <w:snapToGrid w:val="0"/>
        <w:spacing w:beforeLines="0" w:afterLines="0" w:line="56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13F6AB84">
      <w:pPr>
        <w:keepNext w:val="0"/>
        <w:keepLines w:val="0"/>
        <w:pageBreakBefore w:val="0"/>
        <w:widowControl/>
        <w:kinsoku/>
        <w:wordWrap/>
        <w:overflowPunct/>
        <w:topLinePunct w:val="0"/>
        <w:autoSpaceDE/>
        <w:bidi w:val="0"/>
        <w:snapToGrid w:val="0"/>
        <w:spacing w:line="560" w:lineRule="exact"/>
        <w:ind w:firstLine="640" w:firstLineChars="200"/>
        <w:jc w:val="left"/>
        <w:rPr>
          <w:rFonts w:eastAsia="黑体"/>
          <w:color w:val="auto"/>
          <w:sz w:val="32"/>
          <w:szCs w:val="30"/>
          <w:highlight w:val="none"/>
        </w:rPr>
      </w:pPr>
      <w:r>
        <w:rPr>
          <w:rFonts w:eastAsia="黑体"/>
          <w:color w:val="auto"/>
          <w:sz w:val="32"/>
          <w:szCs w:val="30"/>
          <w:highlight w:val="none"/>
        </w:rPr>
        <w:t>六、决定机</w:t>
      </w:r>
      <w:r>
        <w:rPr>
          <w:rFonts w:hint="eastAsia" w:eastAsia="黑体"/>
          <w:color w:val="auto"/>
          <w:sz w:val="32"/>
          <w:szCs w:val="30"/>
          <w:highlight w:val="none"/>
        </w:rPr>
        <w:t>关</w:t>
      </w:r>
    </w:p>
    <w:p w14:paraId="0F25A704">
      <w:pPr>
        <w:keepNext w:val="0"/>
        <w:keepLines w:val="0"/>
        <w:pageBreakBefore w:val="0"/>
        <w:kinsoku/>
        <w:wordWrap/>
        <w:overflowPunct/>
        <w:topLinePunct w:val="0"/>
        <w:autoSpaceDE/>
        <w:bidi w:val="0"/>
        <w:snapToGrid w:val="0"/>
        <w:spacing w:line="560" w:lineRule="exact"/>
        <w:ind w:firstLine="640" w:firstLineChars="200"/>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 w:eastAsia="zh-CN"/>
        </w:rPr>
        <w:t>六安市自然资源和规划局</w:t>
      </w:r>
    </w:p>
    <w:p w14:paraId="6A0B669B">
      <w:pPr>
        <w:keepNext w:val="0"/>
        <w:keepLines w:val="0"/>
        <w:pageBreakBefore w:val="0"/>
        <w:kinsoku/>
        <w:wordWrap/>
        <w:overflowPunct/>
        <w:topLinePunct w:val="0"/>
        <w:autoSpaceDE/>
        <w:bidi w:val="0"/>
        <w:snapToGrid w:val="0"/>
        <w:spacing w:line="560" w:lineRule="exact"/>
        <w:ind w:firstLine="640" w:firstLineChars="200"/>
        <w:rPr>
          <w:rFonts w:eastAsia="黑体"/>
          <w:sz w:val="32"/>
          <w:szCs w:val="30"/>
          <w:highlight w:val="none"/>
        </w:rPr>
      </w:pPr>
      <w:r>
        <w:rPr>
          <w:rFonts w:eastAsia="黑体"/>
          <w:sz w:val="32"/>
          <w:szCs w:val="30"/>
          <w:highlight w:val="none"/>
        </w:rPr>
        <w:t>七、</w:t>
      </w:r>
      <w:r>
        <w:rPr>
          <w:rFonts w:hint="eastAsia" w:eastAsia="黑体"/>
          <w:sz w:val="32"/>
          <w:szCs w:val="30"/>
          <w:highlight w:val="none"/>
          <w:lang w:eastAsia="zh-CN"/>
        </w:rPr>
        <w:t>登记</w:t>
      </w:r>
      <w:r>
        <w:rPr>
          <w:rFonts w:eastAsia="黑体"/>
          <w:sz w:val="32"/>
          <w:szCs w:val="30"/>
          <w:highlight w:val="none"/>
        </w:rPr>
        <w:t>数量</w:t>
      </w:r>
    </w:p>
    <w:p w14:paraId="0E923EDF">
      <w:pPr>
        <w:keepNext w:val="0"/>
        <w:keepLines w:val="0"/>
        <w:pageBreakBefore w:val="0"/>
        <w:kinsoku/>
        <w:wordWrap/>
        <w:overflowPunct/>
        <w:topLinePunct w:val="0"/>
        <w:autoSpaceDE/>
        <w:bidi w:val="0"/>
        <w:snapToGrid w:val="0"/>
        <w:spacing w:line="560" w:lineRule="exact"/>
        <w:ind w:firstLine="640" w:firstLineChars="200"/>
        <w:rPr>
          <w:rFonts w:eastAsia="仿宋_GB2312"/>
          <w:sz w:val="32"/>
          <w:szCs w:val="30"/>
          <w:highlight w:val="none"/>
        </w:rPr>
      </w:pPr>
      <w:r>
        <w:rPr>
          <w:rFonts w:eastAsia="仿宋_GB2312"/>
          <w:sz w:val="32"/>
          <w:szCs w:val="30"/>
          <w:highlight w:val="none"/>
        </w:rPr>
        <w:t>无数量限制</w:t>
      </w:r>
    </w:p>
    <w:p w14:paraId="5A014E63">
      <w:pPr>
        <w:keepNext w:val="0"/>
        <w:keepLines w:val="0"/>
        <w:pageBreakBefore w:val="0"/>
        <w:kinsoku/>
        <w:wordWrap/>
        <w:overflowPunct/>
        <w:topLinePunct w:val="0"/>
        <w:autoSpaceDE/>
        <w:bidi w:val="0"/>
        <w:snapToGrid w:val="0"/>
        <w:spacing w:line="560" w:lineRule="exact"/>
        <w:ind w:firstLine="640" w:firstLineChars="200"/>
        <w:rPr>
          <w:rFonts w:eastAsia="黑体"/>
          <w:bCs/>
          <w:sz w:val="32"/>
          <w:szCs w:val="30"/>
          <w:highlight w:val="none"/>
        </w:rPr>
      </w:pPr>
      <w:r>
        <w:rPr>
          <w:rFonts w:eastAsia="黑体"/>
          <w:bCs/>
          <w:sz w:val="32"/>
          <w:szCs w:val="30"/>
          <w:highlight w:val="none"/>
        </w:rPr>
        <w:t>八、申请条件</w:t>
      </w:r>
    </w:p>
    <w:p w14:paraId="7C8BC9FA">
      <w:pPr>
        <w:keepNext w:val="0"/>
        <w:keepLines w:val="0"/>
        <w:pageBreakBefore w:val="0"/>
        <w:kinsoku/>
        <w:wordWrap/>
        <w:overflowPunct/>
        <w:topLinePunct w:val="0"/>
        <w:autoSpaceDE/>
        <w:bidi w:val="0"/>
        <w:snapToGrid w:val="0"/>
        <w:spacing w:line="560" w:lineRule="exact"/>
        <w:ind w:firstLine="640" w:firstLineChars="200"/>
        <w:rPr>
          <w:rFonts w:eastAsia="楷体_GB2312"/>
          <w:sz w:val="32"/>
          <w:szCs w:val="30"/>
          <w:highlight w:val="none"/>
        </w:rPr>
      </w:pPr>
      <w:r>
        <w:rPr>
          <w:rFonts w:eastAsia="楷体_GB2312"/>
          <w:sz w:val="32"/>
          <w:szCs w:val="30"/>
          <w:highlight w:val="none"/>
        </w:rPr>
        <w:t>（一）申请人条件</w:t>
      </w:r>
    </w:p>
    <w:p w14:paraId="6A66A3B2">
      <w:pPr>
        <w:keepNext w:val="0"/>
        <w:keepLines w:val="0"/>
        <w:pageBreakBefore w:val="0"/>
        <w:kinsoku/>
        <w:wordWrap/>
        <w:overflowPunct/>
        <w:topLinePunct w:val="0"/>
        <w:autoSpaceDE/>
        <w:bidi w:val="0"/>
        <w:snapToGrid w:val="0"/>
        <w:spacing w:line="560" w:lineRule="exact"/>
        <w:ind w:firstLine="640" w:firstLineChars="200"/>
        <w:rPr>
          <w:rFonts w:ascii="仿宋_GB2312" w:hAnsi="仿宋_GB2312" w:eastAsia="仿宋_GB2312" w:cs="仿宋_GB2312"/>
          <w:sz w:val="32"/>
          <w:szCs w:val="30"/>
          <w:highlight w:val="none"/>
        </w:rPr>
      </w:pPr>
      <w:r>
        <w:rPr>
          <w:rFonts w:hint="eastAsia" w:ascii="仿宋_GB2312" w:hAnsi="仿宋_GB2312" w:eastAsia="仿宋_GB2312" w:cs="仿宋_GB2312"/>
          <w:sz w:val="32"/>
          <w:szCs w:val="30"/>
          <w:highlight w:val="none"/>
        </w:rPr>
        <w:t>申请人为原采矿权人。</w:t>
      </w:r>
      <w:r>
        <w:rPr>
          <w:rFonts w:hint="default" w:ascii="Times New Roman" w:hAnsi="Times New Roman" w:eastAsia="仿宋_GB2312" w:cs="Times New Roman"/>
          <w:sz w:val="32"/>
          <w:szCs w:val="30"/>
          <w:highlight w:val="none"/>
        </w:rPr>
        <w:t>（《矿产资源开采登记管理办法》</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国务院令第241号</w:t>
      </w:r>
      <w:r>
        <w:rPr>
          <w:rFonts w:hint="default" w:ascii="Times New Roman" w:hAnsi="Times New Roman" w:eastAsia="仿宋_GB2312" w:cs="Times New Roman"/>
          <w:sz w:val="32"/>
          <w:szCs w:val="30"/>
          <w:highlight w:val="none"/>
          <w:lang w:eastAsia="zh-CN"/>
        </w:rPr>
        <w:t>）</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自然资规〔2023〕4号</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bCs/>
          <w:color w:val="auto"/>
          <w:sz w:val="32"/>
          <w:szCs w:val="30"/>
          <w:highlight w:val="none"/>
        </w:rPr>
        <w:t>）</w:t>
      </w:r>
    </w:p>
    <w:p w14:paraId="751F788F">
      <w:pPr>
        <w:keepNext w:val="0"/>
        <w:keepLines w:val="0"/>
        <w:pageBreakBefore w:val="0"/>
        <w:numPr>
          <w:ilvl w:val="0"/>
          <w:numId w:val="1"/>
        </w:numPr>
        <w:kinsoku/>
        <w:wordWrap/>
        <w:overflowPunct/>
        <w:topLinePunct w:val="0"/>
        <w:autoSpaceDE/>
        <w:bidi w:val="0"/>
        <w:snapToGrid w:val="0"/>
        <w:spacing w:line="560" w:lineRule="exact"/>
        <w:ind w:firstLine="640" w:firstLineChars="200"/>
        <w:rPr>
          <w:rFonts w:hint="eastAsia" w:eastAsia="楷体_GB2312"/>
          <w:sz w:val="32"/>
          <w:szCs w:val="30"/>
          <w:highlight w:val="none"/>
        </w:rPr>
      </w:pPr>
      <w:r>
        <w:rPr>
          <w:rFonts w:eastAsia="楷体_GB2312"/>
          <w:sz w:val="32"/>
          <w:szCs w:val="30"/>
          <w:highlight w:val="none"/>
        </w:rPr>
        <w:t>符合如下条件的，准予</w:t>
      </w:r>
      <w:r>
        <w:rPr>
          <w:rFonts w:hint="eastAsia" w:eastAsia="楷体_GB2312"/>
          <w:sz w:val="32"/>
          <w:szCs w:val="30"/>
          <w:highlight w:val="none"/>
          <w:lang w:eastAsia="zh-CN"/>
        </w:rPr>
        <w:t>登记</w:t>
      </w:r>
      <w:r>
        <w:rPr>
          <w:rFonts w:eastAsia="楷体_GB2312"/>
          <w:sz w:val="32"/>
          <w:szCs w:val="30"/>
          <w:highlight w:val="none"/>
        </w:rPr>
        <w:t>：</w:t>
      </w:r>
    </w:p>
    <w:p w14:paraId="0BB7C13E">
      <w:pPr>
        <w:keepNext w:val="0"/>
        <w:keepLines w:val="0"/>
        <w:pageBreakBefore w:val="0"/>
        <w:kinsoku/>
        <w:wordWrap/>
        <w:overflowPunct/>
        <w:topLinePunct w:val="0"/>
        <w:autoSpaceDE/>
        <w:bidi w:val="0"/>
        <w:snapToGrid w:val="0"/>
        <w:spacing w:line="560" w:lineRule="exact"/>
        <w:ind w:firstLine="640" w:firstLineChars="200"/>
        <w:rPr>
          <w:rFonts w:ascii="Times New Roman" w:hAnsi="Times New Roman" w:eastAsia="楷体_GB2312" w:cs="Times New Roman"/>
          <w:sz w:val="32"/>
          <w:szCs w:val="30"/>
          <w:highlight w:val="none"/>
        </w:rPr>
      </w:pPr>
      <w:r>
        <w:rPr>
          <w:rFonts w:hint="default" w:ascii="Times New Roman" w:hAnsi="Times New Roman" w:eastAsia="仿宋_GB2312" w:cs="Times New Roman"/>
          <w:bCs/>
          <w:color w:val="auto"/>
          <w:sz w:val="32"/>
          <w:szCs w:val="30"/>
          <w:highlight w:val="none"/>
        </w:rPr>
        <w:t>1.申请材料齐全、符合法定形式；（《不动产登记暂行条例》（国务院令第656号）第十七条）</w:t>
      </w:r>
    </w:p>
    <w:p w14:paraId="1E3FFDBB">
      <w:pPr>
        <w:keepNext w:val="0"/>
        <w:keepLines w:val="0"/>
        <w:pageBreakBefore w:val="0"/>
        <w:kinsoku/>
        <w:wordWrap/>
        <w:overflowPunct/>
        <w:topLinePunct w:val="0"/>
        <w:autoSpaceDE/>
        <w:bidi w:val="0"/>
        <w:snapToGrid w:val="0"/>
        <w:spacing w:line="56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bCs/>
          <w:color w:val="auto"/>
          <w:sz w:val="32"/>
          <w:szCs w:val="30"/>
          <w:highlight w:val="none"/>
        </w:rPr>
        <w:t>2.</w:t>
      </w:r>
      <w:r>
        <w:rPr>
          <w:rFonts w:hint="default" w:ascii="Times New Roman" w:hAnsi="Times New Roman" w:eastAsia="仿宋_GB2312" w:cs="Times New Roman"/>
          <w:bCs/>
          <w:sz w:val="32"/>
          <w:szCs w:val="30"/>
          <w:highlight w:val="none"/>
        </w:rPr>
        <w:t>申请人提交了关闭矿山报告或完成报告、终止报告；</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自然资规〔2023〕4号</w:t>
      </w:r>
      <w:r>
        <w:rPr>
          <w:rFonts w:hint="default" w:ascii="Times New Roman" w:hAnsi="Times New Roman" w:eastAsia="仿宋_GB2312" w:cs="Times New Roman"/>
          <w:sz w:val="32"/>
          <w:szCs w:val="30"/>
          <w:highlight w:val="none"/>
          <w:lang w:eastAsia="zh-CN"/>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5AB50EC0">
      <w:pPr>
        <w:keepNext w:val="0"/>
        <w:keepLines w:val="0"/>
        <w:pageBreakBefore w:val="0"/>
        <w:kinsoku/>
        <w:wordWrap/>
        <w:overflowPunct/>
        <w:topLinePunct w:val="0"/>
        <w:autoSpaceDE/>
        <w:bidi w:val="0"/>
        <w:snapToGrid w:val="0"/>
        <w:spacing w:line="56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bCs/>
          <w:sz w:val="32"/>
          <w:szCs w:val="30"/>
          <w:highlight w:val="none"/>
        </w:rPr>
        <w:t>3.采矿权人</w:t>
      </w:r>
      <w:r>
        <w:rPr>
          <w:rFonts w:hint="eastAsia" w:ascii="Times New Roman" w:hAnsi="Times New Roman" w:eastAsia="仿宋_GB2312" w:cs="Times New Roman"/>
          <w:bCs/>
          <w:sz w:val="32"/>
          <w:szCs w:val="30"/>
          <w:highlight w:val="none"/>
          <w:lang w:eastAsia="zh-CN"/>
        </w:rPr>
        <w:t>依法履行</w:t>
      </w:r>
      <w:r>
        <w:rPr>
          <w:rFonts w:hint="default" w:ascii="Times New Roman" w:hAnsi="Times New Roman" w:eastAsia="仿宋_GB2312" w:cs="Times New Roman"/>
          <w:bCs/>
          <w:sz w:val="32"/>
          <w:szCs w:val="30"/>
          <w:highlight w:val="none"/>
        </w:rPr>
        <w:t>了矿区生态修复工作；</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eastAsia="zh-CN"/>
        </w:rPr>
        <w:t>中华人民共和国</w:t>
      </w:r>
      <w:r>
        <w:rPr>
          <w:rFonts w:hint="default" w:ascii="Times New Roman" w:hAnsi="Times New Roman" w:eastAsia="仿宋_GB2312" w:cs="Times New Roman"/>
          <w:sz w:val="32"/>
          <w:szCs w:val="30"/>
          <w:highlight w:val="none"/>
        </w:rPr>
        <w:t>矿产资源法》第四十</w:t>
      </w:r>
      <w:r>
        <w:rPr>
          <w:rFonts w:hint="eastAsia" w:ascii="Times New Roman" w:hAnsi="Times New Roman" w:eastAsia="仿宋_GB2312" w:cs="Times New Roman"/>
          <w:sz w:val="32"/>
          <w:szCs w:val="30"/>
          <w:highlight w:val="none"/>
          <w:lang w:eastAsia="zh-CN"/>
        </w:rPr>
        <w:t>五</w:t>
      </w:r>
      <w:r>
        <w:rPr>
          <w:rFonts w:hint="default" w:ascii="Times New Roman" w:hAnsi="Times New Roman" w:eastAsia="仿宋_GB2312" w:cs="Times New Roman"/>
          <w:sz w:val="32"/>
          <w:szCs w:val="30"/>
          <w:highlight w:val="none"/>
        </w:rPr>
        <w:t>条）</w:t>
      </w:r>
    </w:p>
    <w:p w14:paraId="4609413E">
      <w:pPr>
        <w:keepNext w:val="0"/>
        <w:keepLines w:val="0"/>
        <w:pageBreakBefore w:val="0"/>
        <w:kinsoku/>
        <w:wordWrap/>
        <w:overflowPunct/>
        <w:topLinePunct w:val="0"/>
        <w:autoSpaceDE/>
        <w:bidi w:val="0"/>
        <w:snapToGrid w:val="0"/>
        <w:spacing w:line="560" w:lineRule="exact"/>
        <w:ind w:firstLine="640" w:firstLineChars="200"/>
        <w:rPr>
          <w:rFonts w:hint="eastAsia" w:eastAsia="仿宋_GB2312" w:cs="Times New Roman"/>
          <w:bCs/>
          <w:color w:val="auto"/>
          <w:sz w:val="32"/>
          <w:szCs w:val="32"/>
          <w:highlight w:val="none"/>
          <w:lang w:eastAsia="zh-CN"/>
        </w:rPr>
      </w:pPr>
      <w:r>
        <w:rPr>
          <w:rFonts w:hint="default" w:ascii="Times New Roman" w:hAnsi="Times New Roman" w:eastAsia="仿宋_GB2312" w:cs="Times New Roman"/>
          <w:bCs/>
          <w:sz w:val="32"/>
          <w:szCs w:val="30"/>
          <w:highlight w:val="none"/>
        </w:rPr>
        <w:t>4.</w:t>
      </w:r>
      <w:r>
        <w:rPr>
          <w:rFonts w:ascii="Times New Roman" w:hAnsi="Times New Roman" w:eastAsia="仿宋_GB2312" w:cs="Times New Roman"/>
          <w:sz w:val="32"/>
          <w:szCs w:val="30"/>
          <w:highlight w:val="none"/>
        </w:rPr>
        <w:t>采矿权涉及有偿处置的已按规定完成处置；</w:t>
      </w:r>
      <w:r>
        <w:rPr>
          <w:rFonts w:hint="default" w:ascii="Times New Roman" w:hAnsi="Times New Roman" w:eastAsia="仿宋_GB2312" w:cs="Times New Roman"/>
          <w:bCs/>
          <w:sz w:val="32"/>
          <w:szCs w:val="30"/>
          <w:highlight w:val="none"/>
        </w:rPr>
        <w:t>（</w:t>
      </w:r>
      <w:r>
        <w:rPr>
          <w:rFonts w:hint="eastAsia" w:ascii="Times New Roman" w:hAnsi="Times New Roman" w:eastAsia="仿宋_GB2312" w:cs="Times New Roman"/>
          <w:sz w:val="32"/>
          <w:szCs w:val="30"/>
          <w:highlight w:val="none"/>
          <w:lang w:eastAsia="zh-CN"/>
        </w:rPr>
        <w:t>中华人民共和国</w:t>
      </w:r>
      <w:r>
        <w:rPr>
          <w:rFonts w:hint="default" w:ascii="Times New Roman" w:hAnsi="Times New Roman" w:eastAsia="仿宋_GB2312" w:cs="Times New Roman"/>
          <w:sz w:val="32"/>
          <w:szCs w:val="30"/>
          <w:highlight w:val="none"/>
          <w:lang w:eastAsia="zh-CN"/>
        </w:rPr>
        <w:t>矿产资源法》第十六条、</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财建〔2010〕1018号</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财综〔20</w:t>
      </w:r>
      <w:r>
        <w:rPr>
          <w:rFonts w:hint="default" w:ascii="Times New Roman" w:hAnsi="Times New Roman" w:eastAsia="仿宋_GB2312" w:cs="Times New Roman"/>
          <w:sz w:val="32"/>
          <w:szCs w:val="30"/>
          <w:highlight w:val="none"/>
          <w:lang w:val="en-US" w:eastAsia="zh-CN"/>
        </w:rPr>
        <w:t>23</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val="en-US" w:eastAsia="zh-CN"/>
        </w:rPr>
        <w:t>10</w:t>
      </w:r>
      <w:r>
        <w:rPr>
          <w:rFonts w:hint="default" w:ascii="Times New Roman" w:hAnsi="Times New Roman" w:eastAsia="仿宋_GB2312" w:cs="Times New Roman"/>
          <w:sz w:val="32"/>
          <w:szCs w:val="30"/>
          <w:highlight w:val="none"/>
        </w:rPr>
        <w:t>号</w:t>
      </w:r>
      <w:r>
        <w:rPr>
          <w:rFonts w:hint="default" w:ascii="Times New Roman" w:hAnsi="Times New Roman" w:eastAsia="仿宋_GB2312" w:cs="Times New Roman"/>
          <w:sz w:val="32"/>
          <w:szCs w:val="30"/>
          <w:highlight w:val="none"/>
          <w:lang w:eastAsia="zh-CN"/>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 xml:space="preserve">省财政厅 </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省自然资源厅 国家税务总局安徽省税务局</w:t>
      </w:r>
      <w:r>
        <w:rPr>
          <w:rFonts w:hint="eastAsia" w:eastAsia="仿宋_GB2312" w:cs="Times New Roman"/>
          <w:bCs/>
          <w:color w:val="auto"/>
          <w:sz w:val="32"/>
          <w:szCs w:val="32"/>
          <w:highlight w:val="none"/>
          <w:lang w:eastAsia="zh-CN"/>
        </w:rPr>
        <w:t>关于</w:t>
      </w:r>
      <w:r>
        <w:rPr>
          <w:rFonts w:hint="eastAsia" w:eastAsia="仿宋_GB2312" w:cs="Times New Roman"/>
          <w:bCs/>
          <w:color w:val="auto"/>
          <w:sz w:val="32"/>
          <w:szCs w:val="32"/>
          <w:highlight w:val="none"/>
        </w:rPr>
        <w:t>印发</w:t>
      </w:r>
      <w:r>
        <w:rPr>
          <w:rFonts w:hint="eastAsia" w:eastAsia="仿宋_GB2312" w:cs="Times New Roman"/>
          <w:bCs/>
          <w:color w:val="auto"/>
          <w:sz w:val="32"/>
          <w:szCs w:val="32"/>
          <w:highlight w:val="none"/>
          <w:lang w:val="en-US" w:eastAsia="zh-CN"/>
        </w:rPr>
        <w:t>&lt;</w:t>
      </w:r>
      <w:r>
        <w:rPr>
          <w:rFonts w:hint="eastAsia" w:eastAsia="仿宋_GB2312" w:cs="Times New Roman"/>
          <w:bCs/>
          <w:color w:val="auto"/>
          <w:sz w:val="32"/>
          <w:szCs w:val="32"/>
          <w:highlight w:val="none"/>
        </w:rPr>
        <w:t>安徽省矿业权出让收益征收实施办法</w:t>
      </w:r>
      <w:r>
        <w:rPr>
          <w:rFonts w:hint="eastAsia" w:eastAsia="仿宋_GB2312" w:cs="Times New Roman"/>
          <w:bCs/>
          <w:color w:val="auto"/>
          <w:sz w:val="32"/>
          <w:szCs w:val="32"/>
          <w:highlight w:val="none"/>
          <w:lang w:val="en-US" w:eastAsia="zh-CN"/>
        </w:rPr>
        <w:t>&gt;的通知</w:t>
      </w:r>
      <w:r>
        <w:rPr>
          <w:rFonts w:hint="eastAsia" w:eastAsia="仿宋_GB2312" w:cs="Times New Roman"/>
          <w:bCs/>
          <w:color w:val="auto"/>
          <w:sz w:val="32"/>
          <w:szCs w:val="32"/>
          <w:highlight w:val="none"/>
        </w:rPr>
        <w:t>》（皖财综〔2023〕1079号）</w:t>
      </w:r>
      <w:r>
        <w:rPr>
          <w:rFonts w:hint="eastAsia" w:eastAsia="仿宋_GB2312" w:cs="Times New Roman"/>
          <w:bCs/>
          <w:color w:val="auto"/>
          <w:sz w:val="32"/>
          <w:szCs w:val="32"/>
          <w:highlight w:val="none"/>
          <w:lang w:eastAsia="zh-CN"/>
        </w:rPr>
        <w:t>）</w:t>
      </w:r>
    </w:p>
    <w:p w14:paraId="36CAC7F3">
      <w:pPr>
        <w:keepNext w:val="0"/>
        <w:keepLines w:val="0"/>
        <w:pageBreakBefore w:val="0"/>
        <w:kinsoku/>
        <w:wordWrap/>
        <w:overflowPunct/>
        <w:topLinePunct w:val="0"/>
        <w:autoSpaceDE/>
        <w:bidi w:val="0"/>
        <w:snapToGrid w:val="0"/>
        <w:spacing w:line="560" w:lineRule="exact"/>
        <w:ind w:firstLine="640" w:firstLineChars="200"/>
        <w:rPr>
          <w:rFonts w:eastAsia="楷体_GB2312"/>
          <w:sz w:val="32"/>
          <w:szCs w:val="30"/>
          <w:highlight w:val="none"/>
        </w:rPr>
      </w:pPr>
      <w:r>
        <w:rPr>
          <w:rFonts w:eastAsia="楷体_GB2312"/>
          <w:sz w:val="32"/>
          <w:szCs w:val="30"/>
          <w:highlight w:val="none"/>
        </w:rPr>
        <w:t>（三）不予</w:t>
      </w:r>
      <w:r>
        <w:rPr>
          <w:rFonts w:hint="eastAsia" w:eastAsia="楷体_GB2312"/>
          <w:sz w:val="32"/>
          <w:szCs w:val="30"/>
          <w:highlight w:val="none"/>
          <w:lang w:eastAsia="zh-CN"/>
        </w:rPr>
        <w:t>登记</w:t>
      </w:r>
      <w:r>
        <w:rPr>
          <w:rFonts w:eastAsia="楷体_GB2312"/>
          <w:sz w:val="32"/>
          <w:szCs w:val="30"/>
          <w:highlight w:val="none"/>
        </w:rPr>
        <w:t>的情形</w:t>
      </w:r>
    </w:p>
    <w:p w14:paraId="0AA44045">
      <w:pPr>
        <w:keepNext w:val="0"/>
        <w:keepLines w:val="0"/>
        <w:pageBreakBefore w:val="0"/>
        <w:kinsoku/>
        <w:wordWrap/>
        <w:overflowPunct/>
        <w:topLinePunct w:val="0"/>
        <w:autoSpaceDE/>
        <w:bidi w:val="0"/>
        <w:snapToGrid w:val="0"/>
        <w:spacing w:line="560" w:lineRule="exact"/>
        <w:ind w:firstLine="640" w:firstLineChars="200"/>
        <w:rPr>
          <w:rFonts w:eastAsia="楷体_GB2312"/>
          <w:sz w:val="32"/>
          <w:szCs w:val="30"/>
          <w:highlight w:val="none"/>
        </w:rPr>
      </w:pPr>
      <w:r>
        <w:rPr>
          <w:rFonts w:eastAsia="仿宋_GB2312"/>
          <w:sz w:val="32"/>
          <w:szCs w:val="30"/>
          <w:highlight w:val="none"/>
        </w:rPr>
        <w:t>不符合上述要求的，不予</w:t>
      </w:r>
      <w:r>
        <w:rPr>
          <w:rFonts w:hint="eastAsia" w:eastAsia="仿宋_GB2312"/>
          <w:sz w:val="32"/>
          <w:szCs w:val="30"/>
          <w:highlight w:val="none"/>
          <w:lang w:eastAsia="zh-CN"/>
        </w:rPr>
        <w:t>登记</w:t>
      </w:r>
      <w:r>
        <w:rPr>
          <w:rFonts w:eastAsia="仿宋_GB2312"/>
          <w:sz w:val="32"/>
          <w:szCs w:val="30"/>
          <w:highlight w:val="none"/>
        </w:rPr>
        <w:t>。</w:t>
      </w:r>
    </w:p>
    <w:p w14:paraId="0485DE48">
      <w:pPr>
        <w:keepNext w:val="0"/>
        <w:keepLines w:val="0"/>
        <w:pageBreakBefore w:val="0"/>
        <w:kinsoku/>
        <w:wordWrap/>
        <w:overflowPunct/>
        <w:topLinePunct w:val="0"/>
        <w:autoSpaceDE/>
        <w:bidi w:val="0"/>
        <w:snapToGrid w:val="0"/>
        <w:spacing w:line="560" w:lineRule="exact"/>
        <w:ind w:firstLine="640" w:firstLineChars="200"/>
        <w:rPr>
          <w:rFonts w:eastAsia="黑体"/>
          <w:bCs/>
          <w:sz w:val="32"/>
          <w:szCs w:val="30"/>
          <w:highlight w:val="none"/>
        </w:rPr>
      </w:pPr>
      <w:r>
        <w:rPr>
          <w:rFonts w:eastAsia="黑体"/>
          <w:bCs/>
          <w:sz w:val="32"/>
          <w:szCs w:val="30"/>
          <w:highlight w:val="none"/>
        </w:rPr>
        <w:t>九、申请材料</w:t>
      </w:r>
    </w:p>
    <w:p w14:paraId="2E50F95C">
      <w:pPr>
        <w:keepNext w:val="0"/>
        <w:keepLines w:val="0"/>
        <w:pageBreakBefore w:val="0"/>
        <w:kinsoku/>
        <w:wordWrap/>
        <w:overflowPunct/>
        <w:topLinePunct w:val="0"/>
        <w:autoSpaceDE/>
        <w:bidi w:val="0"/>
        <w:snapToGrid w:val="0"/>
        <w:spacing w:line="560" w:lineRule="exact"/>
        <w:ind w:firstLine="640" w:firstLineChars="200"/>
        <w:rPr>
          <w:rFonts w:eastAsia="楷体_GB2312"/>
          <w:bCs/>
          <w:sz w:val="32"/>
          <w:szCs w:val="30"/>
          <w:highlight w:val="none"/>
        </w:rPr>
      </w:pPr>
      <w:r>
        <w:rPr>
          <w:rFonts w:eastAsia="楷体_GB2312"/>
          <w:bCs/>
          <w:sz w:val="32"/>
          <w:szCs w:val="30"/>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50"/>
        <w:gridCol w:w="1962"/>
        <w:gridCol w:w="6274"/>
      </w:tblGrid>
      <w:tr w14:paraId="0A1237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33" w:hRule="atLeast"/>
          <w:tblHeader/>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6A4F9B73">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序号</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2327DF70">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材料名称</w:t>
            </w:r>
          </w:p>
        </w:tc>
        <w:tc>
          <w:tcPr>
            <w:tcW w:w="6274" w:type="dxa"/>
            <w:tcBorders>
              <w:top w:val="single" w:color="auto" w:sz="2" w:space="0"/>
              <w:left w:val="single" w:color="auto" w:sz="2" w:space="0"/>
              <w:bottom w:val="single" w:color="auto" w:sz="2" w:space="0"/>
              <w:right w:val="single" w:color="auto" w:sz="2" w:space="0"/>
            </w:tcBorders>
            <w:noWrap w:val="0"/>
            <w:vAlign w:val="center"/>
          </w:tcPr>
          <w:p w14:paraId="0A3552DB">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ascii="Times New Roman" w:hAnsi="Times New Roman" w:eastAsia="宋体"/>
                <w:b/>
                <w:bCs/>
                <w:sz w:val="21"/>
                <w:szCs w:val="21"/>
                <w:highlight w:val="none"/>
              </w:rPr>
            </w:pPr>
            <w:r>
              <w:rPr>
                <w:rFonts w:hint="eastAsia" w:ascii="Times New Roman" w:hAnsi="Times New Roman" w:eastAsia="宋体"/>
                <w:b/>
                <w:bCs/>
                <w:sz w:val="21"/>
                <w:szCs w:val="21"/>
                <w:highlight w:val="none"/>
              </w:rPr>
              <w:t>要</w:t>
            </w:r>
            <w:r>
              <w:rPr>
                <w:rFonts w:ascii="Times New Roman" w:hAnsi="Times New Roman" w:eastAsia="宋体"/>
                <w:b/>
                <w:bCs/>
                <w:sz w:val="21"/>
                <w:szCs w:val="21"/>
                <w:highlight w:val="none"/>
              </w:rPr>
              <w:t xml:space="preserve">    </w:t>
            </w:r>
            <w:r>
              <w:rPr>
                <w:rFonts w:hint="eastAsia" w:ascii="Times New Roman" w:hAnsi="Times New Roman" w:eastAsia="宋体"/>
                <w:b/>
                <w:bCs/>
                <w:sz w:val="21"/>
                <w:szCs w:val="21"/>
                <w:highlight w:val="none"/>
              </w:rPr>
              <w:t>求</w:t>
            </w:r>
          </w:p>
        </w:tc>
      </w:tr>
      <w:tr w14:paraId="5B5E35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3" w:hRule="atLeast"/>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6D044324">
            <w:pPr>
              <w:keepNext w:val="0"/>
              <w:keepLines w:val="0"/>
              <w:pageBreakBefore w:val="0"/>
              <w:widowControl w:val="0"/>
              <w:kinsoku/>
              <w:wordWrap/>
              <w:overflowPunct/>
              <w:topLinePunct w:val="0"/>
              <w:autoSpaceDE/>
              <w:autoSpaceDN w:val="0"/>
              <w:bidi w:val="0"/>
              <w:adjustRightInd/>
              <w:snapToGrid/>
              <w:spacing w:after="0" w:line="560" w:lineRule="exact"/>
              <w:jc w:val="center"/>
              <w:textAlignment w:val="center"/>
              <w:rPr>
                <w:rFonts w:ascii="Times New Roman" w:hAnsi="Times New Roman" w:eastAsia="宋体"/>
                <w:sz w:val="21"/>
                <w:szCs w:val="36"/>
                <w:highlight w:val="none"/>
              </w:rPr>
            </w:pPr>
            <w:r>
              <w:rPr>
                <w:rFonts w:ascii="Times New Roman" w:hAnsi="Times New Roman" w:eastAsia="宋体"/>
                <w:color w:val="auto"/>
                <w:kern w:val="2"/>
                <w:sz w:val="21"/>
                <w:szCs w:val="24"/>
                <w:highlight w:val="none"/>
              </w:rPr>
              <w:t>1</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7E9EA85C">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采矿权登记申请书</w:t>
            </w:r>
          </w:p>
        </w:tc>
        <w:tc>
          <w:tcPr>
            <w:tcW w:w="6274"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4F2C97B">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p>
        </w:tc>
      </w:tr>
      <w:tr w14:paraId="75FC7B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4" w:hRule="atLeast"/>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6388B5D5">
            <w:pPr>
              <w:keepNext w:val="0"/>
              <w:keepLines w:val="0"/>
              <w:pageBreakBefore w:val="0"/>
              <w:widowControl w:val="0"/>
              <w:kinsoku/>
              <w:wordWrap/>
              <w:overflowPunct/>
              <w:topLinePunct w:val="0"/>
              <w:autoSpaceDE/>
              <w:autoSpaceDN w:val="0"/>
              <w:bidi w:val="0"/>
              <w:adjustRightInd/>
              <w:snapToGrid/>
              <w:spacing w:after="0" w:line="560" w:lineRule="exact"/>
              <w:jc w:val="center"/>
              <w:textAlignment w:val="center"/>
              <w:rPr>
                <w:rFonts w:ascii="Times New Roman" w:hAnsi="Times New Roman" w:eastAsia="宋体"/>
                <w:color w:val="auto"/>
                <w:kern w:val="2"/>
                <w:sz w:val="21"/>
                <w:szCs w:val="24"/>
                <w:highlight w:val="none"/>
              </w:rPr>
            </w:pPr>
            <w:r>
              <w:rPr>
                <w:rFonts w:ascii="Times New Roman" w:hAnsi="Times New Roman" w:eastAsia="宋体"/>
                <w:color w:val="auto"/>
                <w:kern w:val="2"/>
                <w:sz w:val="21"/>
                <w:szCs w:val="24"/>
                <w:highlight w:val="none"/>
              </w:rPr>
              <w:t>2</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1F7FC2C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w:t>
            </w:r>
          </w:p>
        </w:tc>
        <w:tc>
          <w:tcPr>
            <w:tcW w:w="6274"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C51888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申请人的企业法人营业执照副本不再由申请人提交，登记机关通过政府网站进行核查。</w:t>
            </w:r>
          </w:p>
        </w:tc>
      </w:tr>
      <w:tr w14:paraId="3A07AE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6A0C9440">
            <w:pPr>
              <w:keepNext w:val="0"/>
              <w:keepLines w:val="0"/>
              <w:pageBreakBefore w:val="0"/>
              <w:widowControl w:val="0"/>
              <w:kinsoku/>
              <w:wordWrap/>
              <w:overflowPunct/>
              <w:topLinePunct w:val="0"/>
              <w:autoSpaceDE/>
              <w:autoSpaceDN w:val="0"/>
              <w:bidi w:val="0"/>
              <w:adjustRightInd/>
              <w:snapToGrid/>
              <w:spacing w:after="0" w:line="56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3</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2193766D">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lang w:eastAsia="zh-CN"/>
              </w:rPr>
              <w:t>不动产权</w:t>
            </w:r>
            <w:r>
              <w:rPr>
                <w:rFonts w:hint="eastAsia" w:ascii="Times New Roman" w:hAnsi="Times New Roman" w:eastAsia="仿宋_GB2312" w:cs="Times New Roman"/>
                <w:sz w:val="21"/>
                <w:szCs w:val="21"/>
                <w:highlight w:val="none"/>
              </w:rPr>
              <w:t>证书</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采矿权</w:t>
            </w:r>
            <w:r>
              <w:rPr>
                <w:rFonts w:hint="eastAsia" w:ascii="Times New Roman" w:hAnsi="Times New Roman" w:eastAsia="仿宋_GB2312" w:cs="Times New Roman"/>
                <w:sz w:val="21"/>
                <w:szCs w:val="21"/>
                <w:highlight w:val="none"/>
                <w:lang w:eastAsia="zh-CN"/>
              </w:rPr>
              <w:t>）</w:t>
            </w:r>
            <w:r>
              <w:rPr>
                <w:rFonts w:hint="eastAsia" w:ascii="Times New Roman" w:hAnsi="Times New Roman" w:eastAsia="仿宋_GB2312" w:cs="Times New Roman"/>
                <w:sz w:val="21"/>
                <w:szCs w:val="21"/>
                <w:highlight w:val="none"/>
              </w:rPr>
              <w:t>或采矿许可证</w:t>
            </w:r>
          </w:p>
        </w:tc>
        <w:tc>
          <w:tcPr>
            <w:tcW w:w="6274"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3091FF1">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6AD8EB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31C024CD">
            <w:pPr>
              <w:keepNext w:val="0"/>
              <w:keepLines w:val="0"/>
              <w:pageBreakBefore w:val="0"/>
              <w:widowControl w:val="0"/>
              <w:kinsoku/>
              <w:wordWrap/>
              <w:overflowPunct/>
              <w:topLinePunct w:val="0"/>
              <w:autoSpaceDE/>
              <w:autoSpaceDN w:val="0"/>
              <w:bidi w:val="0"/>
              <w:adjustRightInd/>
              <w:snapToGrid/>
              <w:spacing w:after="0" w:line="560" w:lineRule="exact"/>
              <w:jc w:val="center"/>
              <w:textAlignment w:val="center"/>
              <w:rPr>
                <w:rFonts w:hint="eastAsia" w:ascii="Times New Roman" w:hAnsi="Times New Roman" w:eastAsia="宋体"/>
                <w:sz w:val="21"/>
                <w:szCs w:val="36"/>
                <w:highlight w:val="none"/>
                <w:lang w:eastAsia="zh-CN"/>
              </w:rPr>
            </w:pPr>
            <w:r>
              <w:rPr>
                <w:rFonts w:hint="eastAsia" w:eastAsia="宋体"/>
                <w:color w:val="auto"/>
                <w:kern w:val="2"/>
                <w:sz w:val="21"/>
                <w:szCs w:val="24"/>
                <w:highlight w:val="none"/>
                <w:lang w:val="en-US" w:eastAsia="zh-CN"/>
              </w:rPr>
              <w:t>4</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4706BE71">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矿业权出让收益（价款）缴纳或有偿处置证明材料</w:t>
            </w:r>
          </w:p>
        </w:tc>
        <w:tc>
          <w:tcPr>
            <w:tcW w:w="6274"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3707D08">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1.单独申请采矿权登记或采矿权登记和采矿许可一并申请的，提交此资料；</w:t>
            </w:r>
          </w:p>
          <w:p w14:paraId="5A951568">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2.提供缴款通知书、分期缴款批复或包含矿业权出让收益（价款）应缴金额、缴纳方式的矿业权成交确认书</w:t>
            </w:r>
            <w:r>
              <w:rPr>
                <w:rFonts w:hint="default" w:ascii="Times New Roman" w:hAnsi="Times New Roman" w:eastAsia="仿宋_GB2312" w:cs="Times New Roman"/>
                <w:sz w:val="21"/>
                <w:szCs w:val="21"/>
                <w:highlight w:val="none"/>
              </w:rPr>
              <w:t>、矿业权出让合同</w:t>
            </w:r>
            <w:r>
              <w:rPr>
                <w:rFonts w:hint="eastAsia" w:ascii="Times New Roman" w:hAnsi="Times New Roman" w:eastAsia="仿宋_GB2312" w:cs="Times New Roman"/>
                <w:sz w:val="21"/>
                <w:szCs w:val="21"/>
                <w:highlight w:val="none"/>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r w14:paraId="1A5A85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70" w:hRule="atLeast"/>
          <w:jc w:val="center"/>
        </w:trPr>
        <w:tc>
          <w:tcPr>
            <w:tcW w:w="750" w:type="dxa"/>
            <w:tcBorders>
              <w:top w:val="single" w:color="auto" w:sz="2" w:space="0"/>
              <w:left w:val="single" w:color="auto" w:sz="2" w:space="0"/>
              <w:bottom w:val="single" w:color="auto" w:sz="2" w:space="0"/>
              <w:right w:val="single" w:color="auto" w:sz="2" w:space="0"/>
            </w:tcBorders>
            <w:noWrap w:val="0"/>
            <w:vAlign w:val="center"/>
          </w:tcPr>
          <w:p w14:paraId="2F0E58AF">
            <w:pPr>
              <w:keepNext w:val="0"/>
              <w:keepLines w:val="0"/>
              <w:pageBreakBefore w:val="0"/>
              <w:widowControl w:val="0"/>
              <w:kinsoku/>
              <w:wordWrap/>
              <w:overflowPunct/>
              <w:topLinePunct w:val="0"/>
              <w:autoSpaceDE/>
              <w:autoSpaceDN w:val="0"/>
              <w:bidi w:val="0"/>
              <w:adjustRightInd/>
              <w:snapToGrid/>
              <w:spacing w:after="0" w:line="560" w:lineRule="exact"/>
              <w:jc w:val="center"/>
              <w:textAlignment w:val="center"/>
              <w:rPr>
                <w:rFonts w:hint="eastAsia" w:ascii="Times New Roman" w:hAnsi="Times New Roman" w:eastAsia="宋体"/>
                <w:color w:val="auto"/>
                <w:kern w:val="2"/>
                <w:sz w:val="21"/>
                <w:szCs w:val="24"/>
                <w:highlight w:val="none"/>
                <w:lang w:val="en-US" w:eastAsia="zh-CN"/>
              </w:rPr>
            </w:pPr>
            <w:r>
              <w:rPr>
                <w:rFonts w:hint="eastAsia" w:eastAsia="宋体"/>
                <w:color w:val="auto"/>
                <w:kern w:val="2"/>
                <w:sz w:val="21"/>
                <w:szCs w:val="24"/>
                <w:highlight w:val="none"/>
                <w:lang w:val="en-US" w:eastAsia="zh-CN"/>
              </w:rPr>
              <w:t>5</w:t>
            </w:r>
          </w:p>
        </w:tc>
        <w:tc>
          <w:tcPr>
            <w:tcW w:w="1962" w:type="dxa"/>
            <w:tcBorders>
              <w:top w:val="single" w:color="auto" w:sz="2" w:space="0"/>
              <w:left w:val="single" w:color="auto" w:sz="2" w:space="0"/>
              <w:bottom w:val="single" w:color="auto" w:sz="2" w:space="0"/>
              <w:right w:val="single" w:color="auto" w:sz="2" w:space="0"/>
            </w:tcBorders>
            <w:noWrap w:val="0"/>
            <w:vAlign w:val="center"/>
          </w:tcPr>
          <w:p w14:paraId="71005F61">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关闭矿山报告或完成报告、终止报告</w:t>
            </w:r>
          </w:p>
        </w:tc>
        <w:tc>
          <w:tcPr>
            <w:tcW w:w="6274"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3B769EA">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hint="eastAsia" w:ascii="Times New Roman" w:hAnsi="Times New Roman" w:eastAsia="仿宋_GB2312" w:cs="Times New Roman"/>
                <w:sz w:val="21"/>
                <w:szCs w:val="21"/>
                <w:highlight w:val="none"/>
              </w:rPr>
            </w:pPr>
            <w:r>
              <w:rPr>
                <w:rFonts w:hint="eastAsia" w:ascii="Times New Roman" w:hAnsi="Times New Roman" w:eastAsia="仿宋_GB2312" w:cs="Times New Roman"/>
                <w:sz w:val="21"/>
                <w:szCs w:val="21"/>
                <w:highlight w:val="none"/>
              </w:rPr>
              <w:t>关闭矿山报告中应包含</w:t>
            </w:r>
            <w:r>
              <w:rPr>
                <w:rFonts w:hint="eastAsia" w:ascii="Times New Roman" w:hAnsi="Times New Roman" w:eastAsia="仿宋_GB2312" w:cs="Times New Roman"/>
                <w:sz w:val="21"/>
                <w:szCs w:val="21"/>
                <w:highlight w:val="none"/>
                <w:lang w:eastAsia="zh-CN"/>
              </w:rPr>
              <w:t>开采区域</w:t>
            </w:r>
            <w:r>
              <w:rPr>
                <w:rFonts w:hint="eastAsia" w:ascii="Times New Roman" w:hAnsi="Times New Roman" w:eastAsia="仿宋_GB2312" w:cs="Times New Roman"/>
                <w:sz w:val="21"/>
                <w:szCs w:val="21"/>
                <w:highlight w:val="none"/>
              </w:rPr>
              <w:t>范围图、矿山开采现状及实测图件、储量动用及剩余情况、</w:t>
            </w:r>
            <w:r>
              <w:rPr>
                <w:rFonts w:hint="eastAsia" w:ascii="Times New Roman" w:hAnsi="Times New Roman" w:eastAsia="仿宋_GB2312" w:cs="Times New Roman"/>
                <w:sz w:val="21"/>
                <w:szCs w:val="21"/>
                <w:highlight w:val="none"/>
                <w:lang w:eastAsia="zh-CN"/>
              </w:rPr>
              <w:t>矿区生态修复</w:t>
            </w:r>
            <w:r>
              <w:rPr>
                <w:rFonts w:hint="eastAsia" w:ascii="Times New Roman" w:hAnsi="Times New Roman" w:eastAsia="仿宋_GB2312" w:cs="Times New Roman"/>
                <w:sz w:val="21"/>
                <w:szCs w:val="21"/>
                <w:highlight w:val="none"/>
              </w:rPr>
              <w:t>情况</w:t>
            </w:r>
            <w:r>
              <w:rPr>
                <w:rFonts w:hint="eastAsia" w:ascii="Times New Roman" w:hAnsi="Times New Roman" w:eastAsia="仿宋_GB2312" w:cs="Times New Roman"/>
                <w:sz w:val="21"/>
                <w:szCs w:val="21"/>
                <w:highlight w:val="none"/>
                <w:lang w:eastAsia="zh-CN"/>
              </w:rPr>
              <w:t>、矿区生态修复费用足额提取</w:t>
            </w:r>
            <w:r>
              <w:rPr>
                <w:rFonts w:hint="eastAsia" w:ascii="Times New Roman" w:hAnsi="Times New Roman" w:eastAsia="仿宋_GB2312" w:cs="Times New Roman"/>
                <w:sz w:val="21"/>
                <w:szCs w:val="21"/>
                <w:highlight w:val="none"/>
              </w:rPr>
              <w:t>情况、采矿权使用费的缴纳情况及相关票据等内容。</w:t>
            </w:r>
          </w:p>
        </w:tc>
      </w:tr>
    </w:tbl>
    <w:p w14:paraId="15F61F36">
      <w:pPr>
        <w:keepNext w:val="0"/>
        <w:keepLines w:val="0"/>
        <w:pageBreakBefore w:val="0"/>
        <w:kinsoku/>
        <w:wordWrap/>
        <w:overflowPunct/>
        <w:topLinePunct w:val="0"/>
        <w:autoSpaceDE/>
        <w:bidi w:val="0"/>
        <w:snapToGrid w:val="0"/>
        <w:spacing w:line="560" w:lineRule="exact"/>
        <w:ind w:firstLine="480" w:firstLineChars="200"/>
        <w:rPr>
          <w:rFonts w:eastAsia="仿宋_GB2312"/>
          <w:sz w:val="24"/>
          <w:highlight w:val="none"/>
        </w:rPr>
      </w:pPr>
    </w:p>
    <w:p w14:paraId="1199AFE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7327737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4893C77F">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黑体"/>
          <w:sz w:val="32"/>
          <w:szCs w:val="30"/>
          <w:highlight w:val="none"/>
        </w:rPr>
      </w:pPr>
      <w:r>
        <w:rPr>
          <w:rFonts w:eastAsia="黑体"/>
          <w:sz w:val="32"/>
          <w:szCs w:val="30"/>
          <w:highlight w:val="none"/>
        </w:rPr>
        <w:t>十、申请接收</w:t>
      </w:r>
    </w:p>
    <w:p w14:paraId="66605B6D">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黑体"/>
          <w:color w:val="auto"/>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18192617">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2B2D99C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楷体_GB2312"/>
          <w:sz w:val="32"/>
          <w:szCs w:val="30"/>
          <w:highlight w:val="none"/>
        </w:rPr>
      </w:pPr>
      <w:r>
        <w:rPr>
          <w:rFonts w:eastAsia="楷体_GB2312"/>
          <w:sz w:val="32"/>
          <w:szCs w:val="30"/>
          <w:highlight w:val="none"/>
        </w:rPr>
        <w:t>（一）接收报件和受理</w:t>
      </w:r>
    </w:p>
    <w:p w14:paraId="252608C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自然资源厅窗口</w:t>
      </w:r>
      <w:r>
        <w:rPr>
          <w:rFonts w:hint="eastAsia" w:eastAsia="仿宋_GB2312"/>
          <w:bCs/>
          <w:color w:val="auto"/>
          <w:sz w:val="32"/>
          <w:szCs w:val="30"/>
          <w:highlight w:val="none"/>
        </w:rPr>
        <w:t>接收申请人报送的采矿权注销登记申请资料。申请材料齐全、符合法定形式的，或者申请人按照登记管理机关的要求提交全部补正申请材料的，应当受理申请。</w:t>
      </w:r>
    </w:p>
    <w:p w14:paraId="26A23237">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eastAsia="楷体_GB2312"/>
          <w:sz w:val="32"/>
          <w:szCs w:val="30"/>
          <w:highlight w:val="none"/>
        </w:rPr>
      </w:pPr>
      <w:r>
        <w:rPr>
          <w:rFonts w:hint="eastAsia" w:eastAsia="楷体_GB2312"/>
          <w:sz w:val="32"/>
          <w:szCs w:val="30"/>
          <w:highlight w:val="none"/>
          <w:lang w:eastAsia="zh-CN"/>
        </w:rPr>
        <w:t>（二）</w:t>
      </w:r>
      <w:r>
        <w:rPr>
          <w:rFonts w:eastAsia="楷体_GB2312"/>
          <w:sz w:val="32"/>
          <w:szCs w:val="30"/>
          <w:highlight w:val="none"/>
        </w:rPr>
        <w:t>审</w:t>
      </w:r>
      <w:r>
        <w:rPr>
          <w:rFonts w:hint="eastAsia" w:eastAsia="楷体_GB2312"/>
          <w:sz w:val="32"/>
          <w:szCs w:val="30"/>
          <w:highlight w:val="none"/>
        </w:rPr>
        <w:t>核登簿</w:t>
      </w:r>
    </w:p>
    <w:p w14:paraId="2C9D6632">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受理后，经审核符合登记要求的，矿业权登记机关应当依法将各类登记事项准确、完整、清晰地记载于矿业权登记簿。</w:t>
      </w:r>
    </w:p>
    <w:p w14:paraId="17170DA4">
      <w:pPr>
        <w:keepNext w:val="0"/>
        <w:keepLines w:val="0"/>
        <w:pageBreakBefore w:val="0"/>
        <w:kinsoku/>
        <w:wordWrap/>
        <w:overflowPunct/>
        <w:topLinePunct w:val="0"/>
        <w:autoSpaceDE/>
        <w:bidi w:val="0"/>
        <w:snapToGrid w:val="0"/>
        <w:spacing w:line="56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rPr>
        <w:t>发证</w:t>
      </w:r>
    </w:p>
    <w:p w14:paraId="764CC59B">
      <w:pPr>
        <w:keepNext w:val="0"/>
        <w:keepLines w:val="0"/>
        <w:pageBreakBefore w:val="0"/>
        <w:kinsoku/>
        <w:wordWrap/>
        <w:overflowPunct/>
        <w:topLinePunct w:val="0"/>
        <w:autoSpaceDE/>
        <w:bidi w:val="0"/>
        <w:spacing w:line="560" w:lineRule="exact"/>
        <w:ind w:firstLine="640" w:firstLineChars="200"/>
        <w:jc w:val="left"/>
        <w:rPr>
          <w:rFonts w:eastAsia="仿宋_GB2312"/>
          <w:sz w:val="32"/>
          <w:szCs w:val="30"/>
          <w:highlight w:val="none"/>
        </w:rPr>
      </w:pPr>
      <w:r>
        <w:rPr>
          <w:rFonts w:hint="eastAsia" w:eastAsia="仿宋_GB2312"/>
          <w:bCs/>
          <w:color w:val="auto"/>
          <w:sz w:val="32"/>
          <w:szCs w:val="30"/>
          <w:highlight w:val="none"/>
          <w:lang w:eastAsia="zh-CN"/>
        </w:rPr>
        <w:t>在</w:t>
      </w:r>
      <w:r>
        <w:rPr>
          <w:rFonts w:hint="eastAsia" w:eastAsia="仿宋_GB2312"/>
          <w:bCs/>
          <w:color w:val="auto"/>
          <w:sz w:val="32"/>
          <w:szCs w:val="30"/>
          <w:highlight w:val="none"/>
          <w:lang w:val="en-US" w:eastAsia="zh-CN"/>
        </w:rPr>
        <w:t>不动产权证书</w:t>
      </w:r>
      <w:r>
        <w:rPr>
          <w:rFonts w:hint="eastAsia" w:eastAsia="仿宋_GB2312"/>
          <w:bCs/>
          <w:color w:val="auto"/>
          <w:sz w:val="32"/>
          <w:szCs w:val="30"/>
          <w:highlight w:val="none"/>
          <w:lang w:eastAsia="zh-CN"/>
        </w:rPr>
        <w:t>（</w:t>
      </w:r>
      <w:r>
        <w:rPr>
          <w:rFonts w:hint="eastAsia" w:eastAsia="仿宋_GB2312"/>
          <w:bCs/>
          <w:color w:val="auto"/>
          <w:sz w:val="32"/>
          <w:szCs w:val="30"/>
          <w:highlight w:val="none"/>
          <w:lang w:val="en-US" w:eastAsia="zh-CN"/>
        </w:rPr>
        <w:t>采矿权</w:t>
      </w:r>
      <w:r>
        <w:rPr>
          <w:rFonts w:hint="eastAsia" w:eastAsia="仿宋_GB2312"/>
          <w:bCs/>
          <w:color w:val="auto"/>
          <w:sz w:val="32"/>
          <w:szCs w:val="30"/>
          <w:highlight w:val="none"/>
          <w:lang w:eastAsia="zh-CN"/>
        </w:rPr>
        <w:t>）上注记</w:t>
      </w:r>
      <w:r>
        <w:rPr>
          <w:rFonts w:hint="eastAsia" w:eastAsia="仿宋_GB2312" w:cs="Times New Roman"/>
          <w:sz w:val="32"/>
          <w:szCs w:val="30"/>
          <w:highlight w:val="none"/>
          <w:lang w:eastAsia="zh-CN"/>
        </w:rPr>
        <w:t>。</w:t>
      </w:r>
      <w:r>
        <w:rPr>
          <w:rFonts w:eastAsia="仿宋_GB2312"/>
          <w:sz w:val="32"/>
          <w:szCs w:val="30"/>
          <w:highlight w:val="none"/>
        </w:rPr>
        <w:t xml:space="preserve"> </w:t>
      </w:r>
    </w:p>
    <w:p w14:paraId="6DC2B4C3">
      <w:pPr>
        <w:keepNext w:val="0"/>
        <w:keepLines w:val="0"/>
        <w:pageBreakBefore w:val="0"/>
        <w:kinsoku/>
        <w:wordWrap/>
        <w:overflowPunct/>
        <w:topLinePunct w:val="0"/>
        <w:autoSpaceDE/>
        <w:bidi w:val="0"/>
        <w:spacing w:line="560" w:lineRule="exact"/>
        <w:ind w:firstLine="640" w:firstLineChars="200"/>
        <w:rPr>
          <w:rFonts w:eastAsia="黑体"/>
          <w:color w:val="auto"/>
          <w:sz w:val="32"/>
          <w:szCs w:val="30"/>
          <w:highlight w:val="none"/>
        </w:rPr>
      </w:pPr>
      <w:r>
        <w:rPr>
          <w:rFonts w:eastAsia="黑体"/>
          <w:color w:val="auto"/>
          <w:sz w:val="32"/>
          <w:szCs w:val="30"/>
          <w:highlight w:val="none"/>
        </w:rPr>
        <w:t>十二、办理方式</w:t>
      </w:r>
    </w:p>
    <w:p w14:paraId="18509B86">
      <w:pPr>
        <w:keepNext w:val="0"/>
        <w:keepLines w:val="0"/>
        <w:pageBreakBefore w:val="0"/>
        <w:kinsoku/>
        <w:wordWrap/>
        <w:overflowPunct/>
        <w:topLinePunct w:val="0"/>
        <w:autoSpaceDE/>
        <w:bidi w:val="0"/>
        <w:spacing w:line="560" w:lineRule="exact"/>
        <w:ind w:firstLine="640" w:firstLineChars="200"/>
        <w:rPr>
          <w:rFonts w:eastAsia="仿宋_GB2312"/>
          <w:sz w:val="32"/>
          <w:szCs w:val="30"/>
          <w:highlight w:val="none"/>
        </w:rPr>
      </w:pPr>
      <w:r>
        <w:rPr>
          <w:rFonts w:eastAsia="仿宋_GB2312"/>
          <w:sz w:val="32"/>
          <w:szCs w:val="30"/>
          <w:highlight w:val="none"/>
        </w:rPr>
        <w:t>一般程序</w:t>
      </w:r>
    </w:p>
    <w:p w14:paraId="24A723C3">
      <w:pPr>
        <w:keepNext w:val="0"/>
        <w:keepLines w:val="0"/>
        <w:pageBreakBefore w:val="0"/>
        <w:kinsoku/>
        <w:wordWrap/>
        <w:overflowPunct/>
        <w:topLinePunct w:val="0"/>
        <w:autoSpaceDE/>
        <w:bidi w:val="0"/>
        <w:spacing w:line="560" w:lineRule="exact"/>
        <w:ind w:firstLine="640" w:firstLineChars="200"/>
        <w:rPr>
          <w:rFonts w:eastAsia="黑体"/>
          <w:color w:val="auto"/>
          <w:sz w:val="32"/>
          <w:szCs w:val="30"/>
          <w:highlight w:val="none"/>
        </w:rPr>
      </w:pPr>
      <w:r>
        <w:rPr>
          <w:rFonts w:eastAsia="黑体"/>
          <w:color w:val="auto"/>
          <w:sz w:val="32"/>
          <w:szCs w:val="30"/>
          <w:highlight w:val="none"/>
        </w:rPr>
        <w:t>十三、</w:t>
      </w:r>
      <w:r>
        <w:rPr>
          <w:rFonts w:hint="eastAsia" w:eastAsia="黑体"/>
          <w:color w:val="auto"/>
          <w:sz w:val="32"/>
          <w:szCs w:val="30"/>
          <w:highlight w:val="none"/>
          <w:lang w:eastAsia="zh-CN"/>
        </w:rPr>
        <w:t>登记</w:t>
      </w:r>
      <w:r>
        <w:rPr>
          <w:rFonts w:eastAsia="黑体"/>
          <w:color w:val="auto"/>
          <w:sz w:val="32"/>
          <w:szCs w:val="30"/>
          <w:highlight w:val="none"/>
        </w:rPr>
        <w:t>时限</w:t>
      </w:r>
    </w:p>
    <w:p w14:paraId="3DE70940">
      <w:pPr>
        <w:keepNext w:val="0"/>
        <w:keepLines w:val="0"/>
        <w:pageBreakBefore w:val="0"/>
        <w:kinsoku/>
        <w:wordWrap/>
        <w:overflowPunct/>
        <w:topLinePunct w:val="0"/>
        <w:autoSpaceDE/>
        <w:bidi w:val="0"/>
        <w:spacing w:line="560" w:lineRule="exact"/>
        <w:ind w:firstLine="640" w:firstLineChars="200"/>
        <w:rPr>
          <w:rFonts w:eastAsia="黑体"/>
          <w:color w:val="auto"/>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bookmarkStart w:id="0" w:name="_GoBack"/>
      <w:bookmarkEnd w:id="0"/>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bCs/>
          <w:color w:val="auto"/>
          <w:sz w:val="32"/>
          <w:szCs w:val="30"/>
          <w:highlight w:val="none"/>
          <w:lang w:val="en-US" w:eastAsia="zh-CN"/>
        </w:rPr>
        <w:t>县</w:t>
      </w:r>
      <w:r>
        <w:rPr>
          <w:rFonts w:hint="eastAsia" w:eastAsia="仿宋_GB2312"/>
          <w:bCs/>
          <w:color w:val="auto"/>
          <w:sz w:val="32"/>
          <w:szCs w:val="30"/>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eastAsia" w:eastAsia="仿宋_GB2312"/>
          <w:bCs/>
          <w:color w:val="auto"/>
          <w:sz w:val="32"/>
          <w:szCs w:val="30"/>
          <w:highlight w:val="none"/>
          <w:lang w:eastAsia="zh-CN"/>
        </w:rPr>
        <w:t>意见</w:t>
      </w:r>
      <w:r>
        <w:rPr>
          <w:rFonts w:eastAsia="仿宋_GB2312"/>
          <w:sz w:val="32"/>
          <w:szCs w:val="30"/>
          <w:highlight w:val="none"/>
        </w:rPr>
        <w:t>等时间，不计入时限。</w:t>
      </w:r>
    </w:p>
    <w:p w14:paraId="05488A1A">
      <w:pPr>
        <w:keepNext w:val="0"/>
        <w:keepLines w:val="0"/>
        <w:pageBreakBefore w:val="0"/>
        <w:kinsoku/>
        <w:wordWrap/>
        <w:overflowPunct/>
        <w:topLinePunct w:val="0"/>
        <w:autoSpaceDE/>
        <w:bidi w:val="0"/>
        <w:spacing w:line="560" w:lineRule="exact"/>
        <w:ind w:firstLine="640" w:firstLineChars="200"/>
        <w:rPr>
          <w:rFonts w:eastAsia="黑体"/>
          <w:color w:val="auto"/>
          <w:sz w:val="32"/>
          <w:szCs w:val="30"/>
          <w:highlight w:val="none"/>
        </w:rPr>
      </w:pPr>
      <w:r>
        <w:rPr>
          <w:rFonts w:eastAsia="黑体"/>
          <w:color w:val="auto"/>
          <w:sz w:val="32"/>
          <w:szCs w:val="30"/>
          <w:highlight w:val="none"/>
        </w:rPr>
        <w:t>十四、</w:t>
      </w:r>
      <w:r>
        <w:rPr>
          <w:rFonts w:hint="eastAsia" w:eastAsia="黑体"/>
          <w:color w:val="auto"/>
          <w:sz w:val="32"/>
          <w:szCs w:val="30"/>
          <w:highlight w:val="none"/>
          <w:lang w:eastAsia="zh-CN"/>
        </w:rPr>
        <w:t>登记</w:t>
      </w:r>
      <w:r>
        <w:rPr>
          <w:rFonts w:eastAsia="黑体"/>
          <w:color w:val="auto"/>
          <w:sz w:val="32"/>
          <w:szCs w:val="30"/>
          <w:highlight w:val="none"/>
        </w:rPr>
        <w:t>收费依据及标准</w:t>
      </w:r>
    </w:p>
    <w:p w14:paraId="3D52C522">
      <w:pPr>
        <w:keepNext w:val="0"/>
        <w:keepLines w:val="0"/>
        <w:pageBreakBefore w:val="0"/>
        <w:kinsoku/>
        <w:wordWrap/>
        <w:overflowPunct/>
        <w:topLinePunct w:val="0"/>
        <w:autoSpaceDE/>
        <w:bidi w:val="0"/>
        <w:spacing w:line="560" w:lineRule="exact"/>
        <w:ind w:firstLine="640" w:firstLineChars="200"/>
        <w:jc w:val="left"/>
        <w:rPr>
          <w:rFonts w:hint="eastAsia" w:eastAsia="仿宋_GB2312"/>
          <w:sz w:val="32"/>
          <w:szCs w:val="30"/>
          <w:highlight w:val="none"/>
          <w:lang w:eastAsia="zh-CN"/>
        </w:rPr>
      </w:pPr>
      <w:r>
        <w:rPr>
          <w:rFonts w:hint="eastAsia" w:eastAsia="仿宋_GB2312"/>
          <w:sz w:val="32"/>
          <w:szCs w:val="30"/>
          <w:highlight w:val="none"/>
          <w:lang w:eastAsia="zh-CN"/>
        </w:rPr>
        <w:t>不收费。</w:t>
      </w:r>
    </w:p>
    <w:p w14:paraId="70FF7B0E">
      <w:pPr>
        <w:keepNext w:val="0"/>
        <w:keepLines w:val="0"/>
        <w:pageBreakBefore w:val="0"/>
        <w:kinsoku/>
        <w:wordWrap/>
        <w:overflowPunct/>
        <w:topLinePunct w:val="0"/>
        <w:autoSpaceDE/>
        <w:bidi w:val="0"/>
        <w:spacing w:line="560" w:lineRule="exact"/>
        <w:ind w:firstLine="640" w:firstLineChars="200"/>
        <w:jc w:val="left"/>
        <w:rPr>
          <w:rFonts w:eastAsia="黑体"/>
          <w:color w:val="auto"/>
          <w:sz w:val="32"/>
          <w:szCs w:val="30"/>
          <w:highlight w:val="none"/>
        </w:rPr>
      </w:pPr>
      <w:r>
        <w:rPr>
          <w:rFonts w:eastAsia="黑体"/>
          <w:color w:val="auto"/>
          <w:sz w:val="32"/>
          <w:szCs w:val="30"/>
          <w:highlight w:val="none"/>
        </w:rPr>
        <w:t>十五、</w:t>
      </w:r>
      <w:r>
        <w:rPr>
          <w:rFonts w:hint="eastAsia" w:eastAsia="黑体"/>
          <w:color w:val="auto"/>
          <w:sz w:val="32"/>
          <w:szCs w:val="30"/>
          <w:highlight w:val="none"/>
          <w:lang w:eastAsia="zh-CN"/>
        </w:rPr>
        <w:t>登记</w:t>
      </w:r>
      <w:r>
        <w:rPr>
          <w:rFonts w:eastAsia="黑体"/>
          <w:color w:val="auto"/>
          <w:sz w:val="32"/>
          <w:szCs w:val="30"/>
          <w:highlight w:val="none"/>
        </w:rPr>
        <w:t>结果</w:t>
      </w:r>
    </w:p>
    <w:p w14:paraId="3098FE7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符合规定的，记载于矿业权登记簿</w:t>
      </w:r>
      <w:r>
        <w:rPr>
          <w:rFonts w:hint="eastAsia" w:eastAsia="仿宋_GB2312"/>
          <w:bCs/>
          <w:color w:val="auto"/>
          <w:sz w:val="32"/>
          <w:szCs w:val="30"/>
          <w:highlight w:val="none"/>
          <w:lang w:eastAsia="zh-CN"/>
        </w:rPr>
        <w:t>，并在</w:t>
      </w:r>
      <w:r>
        <w:rPr>
          <w:rFonts w:hint="eastAsia" w:eastAsia="仿宋_GB2312"/>
          <w:bCs/>
          <w:color w:val="auto"/>
          <w:sz w:val="32"/>
          <w:szCs w:val="30"/>
          <w:highlight w:val="none"/>
          <w:lang w:val="en-US" w:eastAsia="zh-CN"/>
        </w:rPr>
        <w:t>不动产权证书</w:t>
      </w:r>
      <w:r>
        <w:rPr>
          <w:rFonts w:hint="eastAsia" w:eastAsia="仿宋_GB2312"/>
          <w:bCs/>
          <w:color w:val="auto"/>
          <w:sz w:val="32"/>
          <w:szCs w:val="30"/>
          <w:highlight w:val="none"/>
          <w:lang w:eastAsia="zh-CN"/>
        </w:rPr>
        <w:t>（</w:t>
      </w:r>
      <w:r>
        <w:rPr>
          <w:rFonts w:hint="eastAsia" w:eastAsia="仿宋_GB2312"/>
          <w:bCs/>
          <w:color w:val="auto"/>
          <w:sz w:val="32"/>
          <w:szCs w:val="30"/>
          <w:highlight w:val="none"/>
          <w:lang w:val="en-US" w:eastAsia="zh-CN"/>
        </w:rPr>
        <w:t>采矿权</w:t>
      </w:r>
      <w:r>
        <w:rPr>
          <w:rFonts w:hint="eastAsia" w:eastAsia="仿宋_GB2312"/>
          <w:bCs/>
          <w:color w:val="auto"/>
          <w:sz w:val="32"/>
          <w:szCs w:val="30"/>
          <w:highlight w:val="none"/>
          <w:lang w:eastAsia="zh-CN"/>
        </w:rPr>
        <w:t>）上注记</w:t>
      </w:r>
      <w:r>
        <w:rPr>
          <w:rFonts w:hint="eastAsia" w:eastAsia="仿宋_GB2312"/>
          <w:bCs/>
          <w:color w:val="auto"/>
          <w:sz w:val="32"/>
          <w:szCs w:val="30"/>
          <w:highlight w:val="none"/>
        </w:rPr>
        <w:t>。</w:t>
      </w:r>
    </w:p>
    <w:p w14:paraId="7F82E188">
      <w:pPr>
        <w:keepNext w:val="0"/>
        <w:keepLines w:val="0"/>
        <w:pageBreakBefore w:val="0"/>
        <w:kinsoku/>
        <w:wordWrap/>
        <w:overflowPunct/>
        <w:topLinePunct w:val="0"/>
        <w:autoSpaceDE/>
        <w:bidi w:val="0"/>
        <w:spacing w:line="560" w:lineRule="exact"/>
        <w:ind w:firstLine="640" w:firstLineChars="200"/>
        <w:jc w:val="left"/>
        <w:rPr>
          <w:rFonts w:eastAsia="黑体"/>
          <w:color w:val="auto"/>
          <w:sz w:val="32"/>
          <w:szCs w:val="30"/>
          <w:highlight w:val="none"/>
        </w:rPr>
      </w:pPr>
      <w:r>
        <w:rPr>
          <w:rFonts w:eastAsia="黑体"/>
          <w:color w:val="auto"/>
          <w:sz w:val="32"/>
          <w:szCs w:val="30"/>
          <w:highlight w:val="none"/>
        </w:rPr>
        <w:t>十六、结果送达</w:t>
      </w:r>
    </w:p>
    <w:p w14:paraId="3C60E0AB">
      <w:pPr>
        <w:keepNext w:val="0"/>
        <w:keepLines w:val="0"/>
        <w:pageBreakBefore w:val="0"/>
        <w:tabs>
          <w:tab w:val="left" w:pos="3480"/>
        </w:tabs>
        <w:kinsoku/>
        <w:wordWrap/>
        <w:overflowPunct/>
        <w:topLinePunct w:val="0"/>
        <w:autoSpaceDE/>
        <w:bidi w:val="0"/>
        <w:spacing w:line="56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rPr>
        <w:t>不动产登记</w:t>
      </w:r>
      <w:r>
        <w:rPr>
          <w:rFonts w:eastAsia="仿宋_GB2312"/>
          <w:sz w:val="32"/>
          <w:szCs w:val="30"/>
          <w:highlight w:val="none"/>
        </w:rPr>
        <w:t>决定后，在</w:t>
      </w:r>
      <w:r>
        <w:rPr>
          <w:rFonts w:hint="eastAsia" w:eastAsia="仿宋_GB2312"/>
          <w:sz w:val="32"/>
          <w:szCs w:val="30"/>
          <w:highlight w:val="none"/>
        </w:rPr>
        <w:t>2</w:t>
      </w:r>
      <w:r>
        <w:rPr>
          <w:rFonts w:eastAsia="仿宋_GB2312"/>
          <w:sz w:val="32"/>
          <w:szCs w:val="30"/>
          <w:highlight w:val="none"/>
        </w:rPr>
        <w:t>个工作日内通知申请人。</w:t>
      </w:r>
    </w:p>
    <w:p w14:paraId="1538E435">
      <w:pPr>
        <w:keepNext w:val="0"/>
        <w:keepLines w:val="0"/>
        <w:pageBreakBefore w:val="0"/>
        <w:tabs>
          <w:tab w:val="left" w:pos="3480"/>
        </w:tabs>
        <w:kinsoku/>
        <w:wordWrap/>
        <w:overflowPunct/>
        <w:topLinePunct w:val="0"/>
        <w:autoSpaceDE/>
        <w:bidi w:val="0"/>
        <w:spacing w:line="560" w:lineRule="exact"/>
        <w:ind w:firstLine="640" w:firstLineChars="200"/>
        <w:jc w:val="left"/>
        <w:rPr>
          <w:rFonts w:eastAsia="黑体"/>
          <w:color w:val="auto"/>
          <w:sz w:val="32"/>
          <w:szCs w:val="30"/>
          <w:highlight w:val="none"/>
        </w:rPr>
      </w:pPr>
      <w:r>
        <w:rPr>
          <w:rFonts w:eastAsia="黑体"/>
          <w:color w:val="auto"/>
          <w:sz w:val="32"/>
          <w:szCs w:val="30"/>
          <w:highlight w:val="none"/>
        </w:rPr>
        <w:t>十七、申请人权利和义务</w:t>
      </w:r>
    </w:p>
    <w:p w14:paraId="518CB89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03C8829B">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22F1ABE5">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79C1D91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1812A44B">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注销</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39CC507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57367152">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56F6736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1FBDEFA6">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559EB73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62D85746">
      <w:pPr>
        <w:keepNext w:val="0"/>
        <w:keepLines w:val="0"/>
        <w:pageBreakBefore w:val="0"/>
        <w:kinsoku/>
        <w:wordWrap/>
        <w:overflowPunct/>
        <w:topLinePunct w:val="0"/>
        <w:autoSpaceDE/>
        <w:bidi w:val="0"/>
        <w:spacing w:line="560" w:lineRule="exact"/>
        <w:ind w:firstLine="576" w:firstLineChars="180"/>
        <w:rPr>
          <w:rFonts w:eastAsia="黑体"/>
          <w:sz w:val="32"/>
          <w:szCs w:val="30"/>
          <w:highlight w:val="none"/>
        </w:rPr>
      </w:pPr>
      <w:r>
        <w:rPr>
          <w:rFonts w:eastAsia="黑体"/>
          <w:sz w:val="32"/>
          <w:szCs w:val="30"/>
          <w:highlight w:val="none"/>
        </w:rPr>
        <w:t>十八、咨询途径</w:t>
      </w:r>
    </w:p>
    <w:p w14:paraId="6865CD84">
      <w:pPr>
        <w:keepNext w:val="0"/>
        <w:keepLines w:val="0"/>
        <w:pageBreakBefore w:val="0"/>
        <w:widowControl w:val="0"/>
        <w:kinsoku/>
        <w:wordWrap/>
        <w:overflowPunct/>
        <w:topLinePunct w:val="0"/>
        <w:autoSpaceDE/>
        <w:autoSpaceDN/>
        <w:bidi w:val="0"/>
        <w:adjustRightInd/>
        <w:spacing w:line="56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A76625A">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0CF27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58AFED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3FE907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BF0B59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301B82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2D6C1FBC">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5F756F4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CDC782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326FF224">
      <w:pPr>
        <w:keepNext w:val="0"/>
        <w:keepLines w:val="0"/>
        <w:pageBreakBefore w:val="0"/>
        <w:kinsoku/>
        <w:wordWrap/>
        <w:overflowPunct/>
        <w:topLinePunct w:val="0"/>
        <w:autoSpaceDE/>
        <w:bidi w:val="0"/>
        <w:spacing w:line="560" w:lineRule="exact"/>
        <w:ind w:firstLine="640" w:firstLineChars="200"/>
        <w:rPr>
          <w:rFonts w:eastAsia="黑体"/>
          <w:sz w:val="32"/>
          <w:szCs w:val="30"/>
          <w:highlight w:val="none"/>
        </w:rPr>
      </w:pPr>
      <w:r>
        <w:rPr>
          <w:rFonts w:eastAsia="黑体"/>
          <w:sz w:val="32"/>
          <w:szCs w:val="30"/>
          <w:highlight w:val="none"/>
        </w:rPr>
        <w:t>二十一、公开查询</w:t>
      </w:r>
    </w:p>
    <w:p w14:paraId="5C50621B">
      <w:pPr>
        <w:keepNext w:val="0"/>
        <w:keepLines w:val="0"/>
        <w:pageBreakBefore w:val="0"/>
        <w:kinsoku/>
        <w:wordWrap/>
        <w:overflowPunct/>
        <w:topLinePunct w:val="0"/>
        <w:autoSpaceDE/>
        <w:bidi w:val="0"/>
        <w:spacing w:line="56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710EAC35">
      <w:pPr>
        <w:keepNext w:val="0"/>
        <w:keepLines w:val="0"/>
        <w:pageBreakBefore w:val="0"/>
        <w:kinsoku/>
        <w:wordWrap/>
        <w:overflowPunct/>
        <w:topLinePunct w:val="0"/>
        <w:autoSpaceDE/>
        <w:bidi w:val="0"/>
        <w:spacing w:line="56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8D6C0B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3FADC2EC">
      <w:pPr>
        <w:keepNext w:val="0"/>
        <w:keepLines w:val="0"/>
        <w:pageBreakBefore w:val="0"/>
        <w:kinsoku/>
        <w:wordWrap/>
        <w:overflowPunct/>
        <w:topLinePunct w:val="0"/>
        <w:autoSpaceDE/>
        <w:bidi w:val="0"/>
        <w:spacing w:line="560" w:lineRule="exact"/>
        <w:ind w:firstLine="640" w:firstLineChars="200"/>
        <w:rPr>
          <w:rFonts w:hint="eastAsia" w:eastAsia="黑体"/>
          <w:sz w:val="32"/>
          <w:szCs w:val="30"/>
          <w:highlight w:val="none"/>
          <w:lang w:val="en-US" w:eastAsia="zh-CN"/>
        </w:rPr>
      </w:pPr>
      <w:r>
        <w:rPr>
          <w:rFonts w:eastAsia="黑体"/>
          <w:sz w:val="32"/>
          <w:szCs w:val="30"/>
          <w:highlight w:val="none"/>
        </w:rPr>
        <w:t>二十二、申请材料示范文本</w:t>
      </w:r>
      <w:r>
        <w:rPr>
          <w:rFonts w:hint="eastAsia" w:eastAsia="黑体"/>
          <w:sz w:val="32"/>
          <w:szCs w:val="30"/>
          <w:highlight w:val="none"/>
          <w:lang w:val="en-US" w:eastAsia="zh-CN"/>
        </w:rPr>
        <w:t xml:space="preserve"> </w:t>
      </w:r>
    </w:p>
    <w:p w14:paraId="3BAA40EB">
      <w:pPr>
        <w:keepNext w:val="0"/>
        <w:keepLines w:val="0"/>
        <w:pageBreakBefore w:val="0"/>
        <w:kinsoku/>
        <w:wordWrap/>
        <w:overflowPunct/>
        <w:topLinePunct w:val="0"/>
        <w:autoSpaceDE/>
        <w:bidi w:val="0"/>
        <w:spacing w:line="560" w:lineRule="exact"/>
        <w:ind w:firstLine="640" w:firstLineChars="200"/>
        <w:rPr>
          <w:rFonts w:eastAsia="仿宋_GB2312"/>
          <w:color w:val="000000"/>
          <w:sz w:val="32"/>
          <w:szCs w:val="30"/>
        </w:rPr>
      </w:pPr>
      <w:r>
        <w:rPr>
          <w:rFonts w:eastAsia="仿宋_GB2312"/>
          <w:sz w:val="32"/>
          <w:szCs w:val="30"/>
        </w:rPr>
        <w:t>见附件</w:t>
      </w:r>
      <w:r>
        <w:rPr>
          <w:rFonts w:hint="eastAsia" w:eastAsia="仿宋_GB2312"/>
          <w:sz w:val="32"/>
          <w:szCs w:val="30"/>
          <w:lang w:eastAsia="zh-CN"/>
        </w:rPr>
        <w:t>。</w:t>
      </w:r>
    </w:p>
    <w:p w14:paraId="70961D09">
      <w:pPr>
        <w:pStyle w:val="4"/>
        <w:rPr>
          <w:rFonts w:hint="eastAsia" w:eastAsia="黑体"/>
          <w:color w:val="FF0000"/>
          <w:sz w:val="30"/>
          <w:szCs w:val="30"/>
        </w:rPr>
      </w:pPr>
      <w:r>
        <w:rPr>
          <w:rFonts w:eastAsia="楷体_GB2312"/>
          <w:sz w:val="30"/>
          <w:szCs w:val="30"/>
        </w:rPr>
        <w:br w:type="page"/>
      </w: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56445460">
      <w:pPr>
        <w:widowControl w:val="0"/>
        <w:adjustRightInd/>
        <w:snapToGrid/>
        <w:spacing w:after="0" w:line="360" w:lineRule="auto"/>
        <w:rPr>
          <w:rFonts w:ascii="等线 Light" w:hAnsi="等线 Light" w:eastAsia="等线 Light"/>
          <w:b/>
          <w:bCs/>
          <w:kern w:val="2"/>
          <w:sz w:val="32"/>
          <w:szCs w:val="32"/>
        </w:rPr>
      </w:pPr>
    </w:p>
    <w:p w14:paraId="13808FA7">
      <w:pPr>
        <w:widowControl w:val="0"/>
        <w:ind w:firstLine="420"/>
        <w:jc w:val="both"/>
        <w:rPr>
          <w:rFonts w:ascii="Calibri" w:hAnsi="Calibri" w:eastAsia="宋体"/>
          <w:kern w:val="2"/>
          <w:sz w:val="21"/>
          <w:szCs w:val="24"/>
        </w:rPr>
      </w:pPr>
    </w:p>
    <w:p w14:paraId="419CD35E">
      <w:pPr>
        <w:widowControl w:val="0"/>
        <w:ind w:firstLine="420"/>
        <w:jc w:val="both"/>
        <w:rPr>
          <w:rFonts w:ascii="Calibri" w:hAnsi="Calibri" w:eastAsia="宋体"/>
          <w:kern w:val="2"/>
          <w:sz w:val="21"/>
          <w:szCs w:val="24"/>
        </w:rPr>
      </w:pPr>
    </w:p>
    <w:p w14:paraId="06F1C520">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35CD2907">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6E533DC0">
      <w:pPr>
        <w:widowControl w:val="0"/>
        <w:adjustRightInd/>
        <w:snapToGrid/>
        <w:spacing w:after="0"/>
        <w:jc w:val="both"/>
        <w:outlineLvl w:val="0"/>
        <w:rPr>
          <w:rFonts w:ascii="Times New Roman" w:hAnsi="Times New Roman" w:eastAsia="宋体"/>
          <w:kern w:val="2"/>
          <w:sz w:val="21"/>
          <w:szCs w:val="24"/>
        </w:rPr>
      </w:pPr>
    </w:p>
    <w:p w14:paraId="500BE75D">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10E3F8E9">
      <w:pPr>
        <w:widowControl w:val="0"/>
        <w:adjustRightInd/>
        <w:snapToGrid/>
        <w:spacing w:after="0" w:line="360" w:lineRule="auto"/>
        <w:ind w:firstLine="562" w:firstLineChars="200"/>
        <w:rPr>
          <w:rFonts w:ascii="宋体" w:hAnsi="宋体" w:eastAsia="宋体" w:cs="宋体"/>
          <w:b/>
          <w:bCs/>
          <w:kern w:val="2"/>
          <w:sz w:val="28"/>
          <w:szCs w:val="28"/>
        </w:rPr>
      </w:pPr>
    </w:p>
    <w:p w14:paraId="31A7C979">
      <w:pPr>
        <w:widowControl w:val="0"/>
        <w:adjustRightInd/>
        <w:snapToGrid/>
        <w:spacing w:after="0" w:line="360" w:lineRule="auto"/>
        <w:rPr>
          <w:rFonts w:ascii="宋体" w:hAnsi="宋体" w:eastAsia="宋体" w:cs="宋体"/>
          <w:b/>
          <w:bCs/>
          <w:kern w:val="2"/>
          <w:sz w:val="28"/>
          <w:szCs w:val="28"/>
        </w:rPr>
      </w:pPr>
    </w:p>
    <w:p w14:paraId="0A41383E">
      <w:pPr>
        <w:widowControl w:val="0"/>
        <w:adjustRightInd/>
        <w:snapToGrid/>
        <w:spacing w:after="0" w:line="360" w:lineRule="auto"/>
        <w:ind w:firstLine="562" w:firstLineChars="200"/>
        <w:rPr>
          <w:rFonts w:ascii="宋体" w:hAnsi="宋体" w:eastAsia="宋体" w:cs="宋体"/>
          <w:b/>
          <w:bCs/>
          <w:kern w:val="2"/>
          <w:sz w:val="28"/>
          <w:szCs w:val="28"/>
        </w:rPr>
      </w:pPr>
    </w:p>
    <w:p w14:paraId="02278FA5">
      <w:pPr>
        <w:keepNext/>
        <w:keepLines/>
        <w:widowControl w:val="0"/>
        <w:spacing w:before="260" w:after="260" w:line="416" w:lineRule="auto"/>
        <w:jc w:val="both"/>
        <w:outlineLvl w:val="1"/>
        <w:rPr>
          <w:rFonts w:ascii="等线 Light" w:hAnsi="等线 Light" w:eastAsia="等线 Light"/>
          <w:b/>
          <w:bCs/>
          <w:kern w:val="2"/>
          <w:sz w:val="32"/>
          <w:szCs w:val="32"/>
        </w:rPr>
      </w:pPr>
    </w:p>
    <w:p w14:paraId="2214F556">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2136701221"/>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35E36891">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1440419159"/>
        </w:rPr>
        <w:t>申请</w:t>
      </w:r>
      <w:r>
        <w:rPr>
          <w:rFonts w:hint="eastAsia" w:ascii="仿宋_GB2312" w:hAnsi="仿宋_GB2312" w:eastAsia="仿宋_GB2312" w:cs="仿宋_GB2312"/>
          <w:b/>
          <w:spacing w:val="0"/>
          <w:kern w:val="0"/>
          <w:sz w:val="30"/>
          <w:szCs w:val="30"/>
          <w:fitText w:val="1200" w:id="1440419159"/>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13190A43">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2127416008"/>
        </w:rPr>
        <w:t>转让</w:t>
      </w:r>
      <w:r>
        <w:rPr>
          <w:rFonts w:hint="eastAsia" w:ascii="仿宋_GB2312" w:hAnsi="仿宋_GB2312" w:eastAsia="仿宋_GB2312" w:cs="仿宋_GB2312"/>
          <w:b/>
          <w:spacing w:val="0"/>
          <w:kern w:val="0"/>
          <w:sz w:val="30"/>
          <w:szCs w:val="30"/>
          <w:fitText w:val="1200" w:id="2127416008"/>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6DEEF0E0">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51527510"/>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4F0BE619">
      <w:pPr>
        <w:widowControl w:val="0"/>
        <w:spacing w:after="0"/>
        <w:jc w:val="both"/>
        <w:rPr>
          <w:rFonts w:hint="eastAsia" w:ascii="Calibri" w:hAnsi="Calibri" w:eastAsia="宋体"/>
          <w:kern w:val="2"/>
          <w:sz w:val="21"/>
          <w:szCs w:val="24"/>
        </w:rPr>
      </w:pPr>
    </w:p>
    <w:p w14:paraId="72E2F8DD">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40858CF1">
      <w:pPr>
        <w:widowControl w:val="0"/>
        <w:adjustRightInd/>
        <w:snapToGrid/>
        <w:spacing w:after="0" w:line="560" w:lineRule="exact"/>
        <w:jc w:val="center"/>
        <w:rPr>
          <w:rFonts w:ascii="Times New Roman" w:hAnsi="Times New Roman" w:eastAsia="方正小标宋_GBK"/>
          <w:kern w:val="2"/>
          <w:sz w:val="36"/>
          <w:szCs w:val="36"/>
        </w:rPr>
      </w:pPr>
    </w:p>
    <w:p w14:paraId="23A61746">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rPr>
        <w:t>1.</w:t>
      </w:r>
      <w:r>
        <w:rPr>
          <w:rFonts w:hint="eastAsia" w:ascii="Times New Roman" w:hAnsi="Times New Roman" w:eastAsia="仿宋_GB2312"/>
          <w:b/>
          <w:bCs/>
          <w:kern w:val="2"/>
          <w:sz w:val="30"/>
          <w:szCs w:val="30"/>
        </w:rPr>
        <w:t>矿山</w:t>
      </w:r>
      <w:r>
        <w:rPr>
          <w:rFonts w:ascii="Times New Roman" w:hAnsi="Times New Roman" w:eastAsia="仿宋_GB2312"/>
          <w:b/>
          <w:kern w:val="2"/>
          <w:sz w:val="30"/>
          <w:szCs w:val="30"/>
        </w:rPr>
        <w:t>名称：</w:t>
      </w:r>
      <w:r>
        <w:rPr>
          <w:rFonts w:hint="eastAsia" w:ascii="Times New Roman" w:hAnsi="Times New Roman" w:eastAsia="仿宋_GB2312"/>
          <w:bCs/>
          <w:kern w:val="2"/>
          <w:sz w:val="30"/>
          <w:szCs w:val="30"/>
        </w:rPr>
        <w:t>非油气项目，由</w:t>
      </w:r>
      <w:r>
        <w:rPr>
          <w:rFonts w:ascii="Times New Roman" w:hAnsi="Times New Roman" w:eastAsia="仿宋_GB2312"/>
          <w:bCs/>
          <w:kern w:val="2"/>
          <w:sz w:val="30"/>
          <w:szCs w:val="30"/>
        </w:rPr>
        <w:t>采矿权申请人全称＋所开办矿山的名称</w:t>
      </w:r>
      <w:r>
        <w:rPr>
          <w:rFonts w:hint="eastAsia" w:ascii="Times New Roman" w:hAnsi="Times New Roman" w:eastAsia="仿宋_GB2312"/>
          <w:bCs/>
          <w:kern w:val="2"/>
          <w:sz w:val="30"/>
          <w:szCs w:val="30"/>
        </w:rPr>
        <w:t>组成</w:t>
      </w:r>
      <w:r>
        <w:rPr>
          <w:rFonts w:ascii="Times New Roman" w:hAnsi="Times New Roman" w:eastAsia="仿宋_GB2312"/>
          <w:bCs/>
          <w:kern w:val="2"/>
          <w:sz w:val="30"/>
          <w:szCs w:val="30"/>
        </w:rPr>
        <w:t>。</w:t>
      </w:r>
      <w:r>
        <w:rPr>
          <w:rFonts w:hint="eastAsia" w:ascii="Times New Roman" w:hAnsi="Times New Roman" w:eastAsia="仿宋_GB2312"/>
          <w:bCs/>
          <w:kern w:val="2"/>
          <w:sz w:val="30"/>
          <w:szCs w:val="30"/>
        </w:rPr>
        <w:t>油气项目，</w:t>
      </w:r>
      <w:r>
        <w:rPr>
          <w:rFonts w:ascii="Times New Roman" w:hAnsi="Times New Roman" w:eastAsia="仿宋_GB2312"/>
          <w:bCs/>
          <w:kern w:val="2"/>
          <w:sz w:val="30"/>
          <w:szCs w:val="30"/>
        </w:rPr>
        <w:t>由项目所在省（区、市）名</w:t>
      </w:r>
      <w:r>
        <w:rPr>
          <w:rFonts w:hint="eastAsia" w:ascii="Times New Roman" w:hAnsi="Times New Roman" w:eastAsia="仿宋_GB2312"/>
          <w:bCs/>
          <w:kern w:val="2"/>
          <w:sz w:val="30"/>
          <w:szCs w:val="30"/>
        </w:rPr>
        <w:t>（</w:t>
      </w:r>
      <w:r>
        <w:rPr>
          <w:rFonts w:ascii="Times New Roman" w:hAnsi="Times New Roman" w:eastAsia="仿宋_GB2312"/>
          <w:bCs/>
          <w:kern w:val="2"/>
          <w:sz w:val="30"/>
          <w:szCs w:val="30"/>
        </w:rPr>
        <w:t>跨省需用简称</w:t>
      </w:r>
      <w:r>
        <w:rPr>
          <w:rFonts w:hint="eastAsia" w:ascii="Times New Roman" w:hAnsi="Times New Roman" w:eastAsia="仿宋_GB2312"/>
          <w:bCs/>
          <w:kern w:val="2"/>
          <w:sz w:val="30"/>
          <w:szCs w:val="30"/>
        </w:rPr>
        <w:t>）</w:t>
      </w:r>
      <w:r>
        <w:rPr>
          <w:rFonts w:ascii="Times New Roman" w:hAnsi="Times New Roman" w:eastAsia="仿宋_GB2312"/>
          <w:bCs/>
          <w:kern w:val="2"/>
          <w:sz w:val="30"/>
          <w:szCs w:val="30"/>
        </w:rPr>
        <w:t>或开采作业区的主要特征地名＋开采矿种＋开采组成。</w:t>
      </w:r>
      <w:r>
        <w:rPr>
          <w:rFonts w:hint="eastAsia" w:ascii="Times New Roman" w:hAnsi="Times New Roman" w:eastAsia="仿宋_GB2312"/>
          <w:bCs/>
          <w:kern w:val="2"/>
          <w:sz w:val="30"/>
          <w:szCs w:val="30"/>
          <w:lang w:eastAsia="zh-CN"/>
        </w:rPr>
        <w:t>申请转移、变更（采矿权人名称、开采矿种）登记的，填写变更后的矿山名称。</w:t>
      </w:r>
    </w:p>
    <w:p w14:paraId="502166C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532079F6">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071FD28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770CD663">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32C0817A">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376A9364">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44359B3A">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25E66BEA">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7C5C2E0C">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7D639CF3">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5548600E">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3EEB1445">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51B79F11">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1419ECB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149E32F6">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464F59AF">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127A6429">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7E71196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395D73A3">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58C39F39">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11CC03D6">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301F5A17">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030BB4F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79D6D84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304CD157">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35F074D6">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258BEA0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34D4F2B4">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463B2AD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398EF8A7">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78F63779">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6301688D">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789F43CE">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471CD630">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5CAADD0C">
      <w:pPr>
        <w:pStyle w:val="3"/>
        <w:ind w:left="0" w:leftChars="0" w:firstLine="0" w:firstLineChars="0"/>
        <w:rPr>
          <w:rFonts w:hint="eastAsia" w:ascii="Times New Roman" w:hAnsi="Times New Roman" w:eastAsia="仿宋_GB2312" w:cs="Times New Roman"/>
          <w:kern w:val="2"/>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39419A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1C7B44D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5D75D91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3A232CA0">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2B7A5C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35C77DF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3968F5F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7FBBE4A1">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5EE8B14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3CD9D37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02765BD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5169227E">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067D2793">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62D4F33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1BF965B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2A0239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5656C047">
            <w:pPr>
              <w:widowControl w:val="0"/>
              <w:adjustRightInd/>
              <w:snapToGrid/>
              <w:spacing w:after="0"/>
              <w:rPr>
                <w:rFonts w:ascii="Calibri" w:hAnsi="Calibri" w:eastAsia="宋体"/>
                <w:kern w:val="2"/>
                <w:sz w:val="21"/>
                <w:szCs w:val="24"/>
              </w:rPr>
            </w:pPr>
          </w:p>
        </w:tc>
        <w:tc>
          <w:tcPr>
            <w:tcW w:w="1799" w:type="dxa"/>
            <w:gridSpan w:val="2"/>
            <w:noWrap w:val="0"/>
            <w:vAlign w:val="center"/>
          </w:tcPr>
          <w:p w14:paraId="0226851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22596A23">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475B780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14BBCE0E">
            <w:pPr>
              <w:widowControl w:val="0"/>
              <w:adjustRightInd/>
              <w:snapToGrid/>
              <w:spacing w:after="0"/>
              <w:jc w:val="center"/>
              <w:rPr>
                <w:rFonts w:hint="eastAsia" w:ascii="仿宋_GB2312" w:hAnsi="仿宋_GB2312" w:eastAsia="仿宋_GB2312" w:cs="仿宋_GB2312"/>
                <w:kern w:val="2"/>
                <w:sz w:val="24"/>
                <w:szCs w:val="24"/>
              </w:rPr>
            </w:pPr>
          </w:p>
        </w:tc>
      </w:tr>
      <w:tr w14:paraId="02392DB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42C3E762">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1036406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30104E9F">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1078657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39B8033C">
            <w:pPr>
              <w:widowControl w:val="0"/>
              <w:adjustRightInd/>
              <w:snapToGrid/>
              <w:spacing w:after="0"/>
              <w:jc w:val="center"/>
              <w:rPr>
                <w:rFonts w:hint="eastAsia" w:ascii="仿宋_GB2312" w:hAnsi="仿宋_GB2312" w:eastAsia="仿宋_GB2312" w:cs="仿宋_GB2312"/>
                <w:kern w:val="2"/>
                <w:sz w:val="24"/>
                <w:szCs w:val="24"/>
              </w:rPr>
            </w:pPr>
          </w:p>
        </w:tc>
      </w:tr>
      <w:tr w14:paraId="38C3354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42891FE7">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170E02B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28013577">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4034AD6D">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42987236">
            <w:pPr>
              <w:widowControl/>
              <w:spacing w:after="0"/>
              <w:jc w:val="left"/>
              <w:rPr>
                <w:rFonts w:hint="default"/>
                <w:lang w:val="en-US" w:eastAsia="zh-CN"/>
              </w:rPr>
            </w:pPr>
          </w:p>
        </w:tc>
      </w:tr>
      <w:tr w14:paraId="7A051E7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6D1B07EB">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7CB29812">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5AD04B8B">
            <w:pPr>
              <w:widowControl w:val="0"/>
              <w:adjustRightInd/>
              <w:snapToGrid/>
              <w:spacing w:after="0"/>
              <w:jc w:val="center"/>
              <w:rPr>
                <w:rFonts w:hint="eastAsia" w:ascii="仿宋_GB2312" w:hAnsi="仿宋_GB2312" w:eastAsia="仿宋_GB2312" w:cs="仿宋_GB2312"/>
                <w:kern w:val="2"/>
                <w:sz w:val="24"/>
                <w:szCs w:val="24"/>
              </w:rPr>
            </w:pPr>
          </w:p>
        </w:tc>
        <w:tc>
          <w:tcPr>
            <w:tcW w:w="1702" w:type="dxa"/>
            <w:gridSpan w:val="2"/>
            <w:tcBorders>
              <w:left w:val="single" w:color="auto" w:sz="4" w:space="0"/>
              <w:right w:val="single" w:color="auto" w:sz="4" w:space="0"/>
            </w:tcBorders>
            <w:noWrap w:val="0"/>
            <w:vAlign w:val="center"/>
          </w:tcPr>
          <w:p w14:paraId="1F4E2D3F">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5F513265">
            <w:pPr>
              <w:widowControl w:val="0"/>
              <w:adjustRightInd/>
              <w:snapToGrid/>
              <w:spacing w:after="0"/>
              <w:jc w:val="center"/>
              <w:rPr>
                <w:rFonts w:hint="eastAsia" w:ascii="仿宋_GB2312" w:hAnsi="仿宋_GB2312" w:eastAsia="仿宋_GB2312" w:cs="仿宋_GB2312"/>
                <w:kern w:val="2"/>
                <w:sz w:val="21"/>
                <w:szCs w:val="21"/>
                <w:lang w:eastAsia="zh-CN"/>
              </w:rPr>
            </w:pPr>
          </w:p>
        </w:tc>
      </w:tr>
      <w:tr w14:paraId="31882F6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6989031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073C69F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12332D8E">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482D14CE">
            <w:pPr>
              <w:widowControl w:val="0"/>
              <w:adjustRightInd/>
              <w:snapToGrid/>
              <w:spacing w:after="0"/>
              <w:jc w:val="center"/>
              <w:rPr>
                <w:rFonts w:hint="eastAsia" w:ascii="仿宋_GB2312" w:hAnsi="仿宋_GB2312" w:eastAsia="仿宋_GB2312" w:cs="仿宋_GB2312"/>
                <w:kern w:val="2"/>
                <w:sz w:val="24"/>
                <w:szCs w:val="24"/>
              </w:rPr>
            </w:pPr>
          </w:p>
        </w:tc>
      </w:tr>
      <w:tr w14:paraId="32E0F1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F1B3C70">
            <w:pPr>
              <w:widowControl w:val="0"/>
              <w:adjustRightInd/>
              <w:snapToGrid/>
              <w:spacing w:after="0"/>
              <w:rPr>
                <w:rFonts w:ascii="Calibri" w:hAnsi="Calibri" w:eastAsia="宋体"/>
                <w:kern w:val="2"/>
                <w:sz w:val="21"/>
                <w:szCs w:val="24"/>
              </w:rPr>
            </w:pPr>
          </w:p>
        </w:tc>
        <w:tc>
          <w:tcPr>
            <w:tcW w:w="1799" w:type="dxa"/>
            <w:gridSpan w:val="2"/>
            <w:noWrap w:val="0"/>
            <w:vAlign w:val="center"/>
          </w:tcPr>
          <w:p w14:paraId="49521EC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0B023169">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319D25B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1233F1D9">
            <w:pPr>
              <w:widowControl w:val="0"/>
              <w:adjustRightInd/>
              <w:snapToGrid/>
              <w:spacing w:after="0"/>
              <w:jc w:val="center"/>
              <w:rPr>
                <w:rFonts w:hint="eastAsia" w:ascii="仿宋_GB2312" w:hAnsi="仿宋_GB2312" w:eastAsia="仿宋_GB2312" w:cs="仿宋_GB2312"/>
                <w:kern w:val="2"/>
                <w:sz w:val="24"/>
                <w:szCs w:val="24"/>
              </w:rPr>
            </w:pPr>
          </w:p>
        </w:tc>
      </w:tr>
      <w:tr w14:paraId="1818F8E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784C4EE8">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495AF02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61ACC23B">
            <w:pPr>
              <w:widowControl w:val="0"/>
              <w:adjustRightInd/>
              <w:snapToGrid/>
              <w:spacing w:after="0"/>
              <w:jc w:val="center"/>
              <w:rPr>
                <w:rFonts w:hint="eastAsia" w:ascii="仿宋_GB2312" w:hAnsi="仿宋_GB2312" w:eastAsia="仿宋_GB2312" w:cs="仿宋_GB2312"/>
                <w:kern w:val="2"/>
                <w:sz w:val="24"/>
                <w:szCs w:val="24"/>
              </w:rPr>
            </w:pPr>
          </w:p>
        </w:tc>
      </w:tr>
      <w:tr w14:paraId="657BDCF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72D2315">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4984C7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11C148C3">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0648204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20295CAA">
            <w:pPr>
              <w:widowControl w:val="0"/>
              <w:adjustRightInd/>
              <w:snapToGrid/>
              <w:spacing w:after="0"/>
              <w:jc w:val="center"/>
              <w:rPr>
                <w:rFonts w:hint="eastAsia" w:ascii="仿宋_GB2312" w:hAnsi="仿宋_GB2312" w:eastAsia="仿宋_GB2312" w:cs="仿宋_GB2312"/>
                <w:kern w:val="2"/>
                <w:sz w:val="24"/>
                <w:szCs w:val="24"/>
              </w:rPr>
            </w:pPr>
          </w:p>
        </w:tc>
      </w:tr>
      <w:tr w14:paraId="3E3A4E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6CE1DC62">
            <w:pPr>
              <w:widowControl w:val="0"/>
              <w:adjustRightInd/>
              <w:snapToGrid/>
              <w:spacing w:after="0"/>
              <w:jc w:val="center"/>
              <w:rPr>
                <w:rFonts w:hint="eastAsia" w:ascii="Times New Roman" w:hAnsi="Times New Roman" w:eastAsia="仿宋_GB2312"/>
                <w:kern w:val="2"/>
                <w:sz w:val="24"/>
                <w:szCs w:val="24"/>
              </w:rPr>
            </w:pPr>
          </w:p>
          <w:p w14:paraId="07408DB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2423642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768E26DB">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01C98C2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26B0D448">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1048147E">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53566F9E">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19D377D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13E8CB1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675A1B58">
            <w:pPr>
              <w:widowControl w:val="0"/>
              <w:adjustRightInd/>
              <w:snapToGrid/>
              <w:spacing w:after="0"/>
              <w:jc w:val="center"/>
              <w:rPr>
                <w:rFonts w:hint="eastAsia" w:ascii="仿宋_GB2312" w:hAnsi="仿宋_GB2312" w:eastAsia="仿宋_GB2312" w:cs="仿宋_GB2312"/>
                <w:kern w:val="2"/>
                <w:sz w:val="24"/>
                <w:szCs w:val="24"/>
              </w:rPr>
            </w:pPr>
          </w:p>
        </w:tc>
      </w:tr>
      <w:tr w14:paraId="3C62C5D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79B8B54A">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2A98F69F">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4750EE8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09013844">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723331C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6F050765">
            <w:pPr>
              <w:widowControl w:val="0"/>
              <w:adjustRightInd/>
              <w:snapToGrid/>
              <w:spacing w:after="0"/>
              <w:jc w:val="center"/>
              <w:rPr>
                <w:rFonts w:hint="eastAsia" w:ascii="仿宋_GB2312" w:hAnsi="仿宋_GB2312" w:eastAsia="仿宋_GB2312" w:cs="仿宋_GB2312"/>
                <w:kern w:val="2"/>
                <w:sz w:val="24"/>
                <w:szCs w:val="24"/>
              </w:rPr>
            </w:pPr>
          </w:p>
        </w:tc>
      </w:tr>
      <w:tr w14:paraId="1CFEAC7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1EEBB27B">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4D10792C">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235374E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70594E22">
            <w:pPr>
              <w:widowControl w:val="0"/>
              <w:adjustRightInd/>
              <w:snapToGrid/>
              <w:spacing w:after="0"/>
              <w:jc w:val="center"/>
              <w:rPr>
                <w:rFonts w:hint="eastAsia" w:ascii="仿宋_GB2312" w:hAnsi="仿宋_GB2312" w:eastAsia="仿宋_GB2312" w:cs="仿宋_GB2312"/>
                <w:kern w:val="2"/>
                <w:sz w:val="24"/>
                <w:szCs w:val="24"/>
              </w:rPr>
            </w:pPr>
          </w:p>
        </w:tc>
      </w:tr>
      <w:tr w14:paraId="320374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4E3D6EB9">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7A9A5B7B">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7C0546E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2A372F70">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5BF508D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628A9E71">
            <w:pPr>
              <w:widowControl w:val="0"/>
              <w:adjustRightInd/>
              <w:snapToGrid/>
              <w:spacing w:after="0"/>
              <w:jc w:val="center"/>
              <w:rPr>
                <w:rFonts w:hint="eastAsia" w:ascii="仿宋_GB2312" w:hAnsi="仿宋_GB2312" w:eastAsia="仿宋_GB2312" w:cs="仿宋_GB2312"/>
                <w:kern w:val="2"/>
                <w:sz w:val="24"/>
                <w:szCs w:val="24"/>
              </w:rPr>
            </w:pPr>
          </w:p>
        </w:tc>
      </w:tr>
      <w:tr w14:paraId="2D8C70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411A8DA6">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42B4354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48DA5E8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5C2C0207">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6C0EC4A2">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3EB687EC">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34A2F01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70089F79">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6D1391B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3BFE8FC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1DA05B1A">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4F08BF7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7B08FFE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07DE98A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0881A8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17194735">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6053F4CF">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0A95648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1FA88831">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630E04A5">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91864C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386365E">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1950FBE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020C023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C1C6278">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F2DFBED">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116B0DE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75C4A4FE">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325B8A25">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5F326B9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B3DFB96">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00A04AD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3F5D1DC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28A2E1D">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5606BD45">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4831292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29D6158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0FB793C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2E2C3E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192D0596">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69760DEE">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72A7DE2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4DBEA5D7">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4DB14519">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7472A5D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DF742A2">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24FA847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1F7DAA9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3D400C8A">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0D161609">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1412858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1B8AA3D4">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1E7CA92A">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596A887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3F6913C0">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3F08C46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593452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5AD020FC">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2508883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0D9AA33D">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7DC8D900">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711CDEA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5242426F">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4B38C63">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350AAA4A">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150E549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5CC34E68">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0FF224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46F86D5D">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43FCC66">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4805187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7A6F1B5B">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4F0FA96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6070A443">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52049D7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3D3942F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0DA282EA">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2B99EA3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0C7CB1E4">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4F2F44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6901C62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703E1E1F">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8F32E2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5EDE39A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1BEAE140">
            <w:pPr>
              <w:widowControl w:val="0"/>
              <w:adjustRightInd/>
              <w:snapToGrid/>
              <w:spacing w:after="0"/>
              <w:jc w:val="center"/>
              <w:rPr>
                <w:rFonts w:ascii="Times New Roman" w:hAnsi="Times New Roman" w:eastAsia="仿宋_GB2312"/>
                <w:kern w:val="2"/>
                <w:sz w:val="24"/>
                <w:szCs w:val="24"/>
              </w:rPr>
            </w:pPr>
          </w:p>
        </w:tc>
      </w:tr>
      <w:tr w14:paraId="586425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41AE74DD">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38FB38A5">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2D20F409">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69333EB5">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5003FAF6">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2863212">
            <w:pPr>
              <w:widowControl w:val="0"/>
              <w:adjustRightInd/>
              <w:snapToGrid/>
              <w:spacing w:after="0"/>
              <w:jc w:val="center"/>
              <w:rPr>
                <w:rFonts w:ascii="Times New Roman" w:hAnsi="Times New Roman" w:eastAsia="仿宋_GB2312"/>
                <w:kern w:val="2"/>
                <w:sz w:val="24"/>
                <w:szCs w:val="24"/>
              </w:rPr>
            </w:pPr>
          </w:p>
        </w:tc>
      </w:tr>
      <w:tr w14:paraId="458C3E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3CD41808">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549F0B2">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638106F9">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0B3A72D9">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3B43AD0D">
            <w:pPr>
              <w:widowControl w:val="0"/>
              <w:adjustRightInd/>
              <w:snapToGrid/>
              <w:spacing w:after="0"/>
              <w:jc w:val="center"/>
              <w:rPr>
                <w:rFonts w:ascii="Times New Roman" w:hAnsi="Times New Roman" w:eastAsia="仿宋_GB2312"/>
                <w:kern w:val="2"/>
                <w:sz w:val="24"/>
                <w:szCs w:val="24"/>
              </w:rPr>
            </w:pPr>
          </w:p>
        </w:tc>
      </w:tr>
      <w:tr w14:paraId="6E0D30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085B89FE">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664C73D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27628DD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0B6038C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713805FD">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4FE93EDA">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14022C24">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73B7D8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367DB45A">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3D322CBC">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577E083D">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7FD0EA3D">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4E98D1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4A42E3AE">
            <w:pPr>
              <w:widowControl w:val="0"/>
              <w:adjustRightInd/>
              <w:snapToGrid/>
              <w:spacing w:after="0"/>
              <w:jc w:val="center"/>
              <w:rPr>
                <w:rFonts w:ascii="Times New Roman" w:hAnsi="Times New Roman" w:eastAsia="仿宋_GB2312"/>
                <w:kern w:val="2"/>
                <w:sz w:val="24"/>
                <w:szCs w:val="24"/>
              </w:rPr>
            </w:pPr>
          </w:p>
        </w:tc>
      </w:tr>
      <w:tr w14:paraId="295E517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677747E7">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B74881D">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7448EAE6">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3CE65778">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1DC14700">
            <w:pPr>
              <w:widowControl w:val="0"/>
              <w:adjustRightInd/>
              <w:snapToGrid/>
              <w:spacing w:after="0"/>
              <w:jc w:val="center"/>
              <w:rPr>
                <w:rFonts w:ascii="Times New Roman" w:hAnsi="Times New Roman" w:eastAsia="仿宋_GB2312"/>
                <w:kern w:val="2"/>
                <w:sz w:val="24"/>
                <w:szCs w:val="24"/>
                <w:lang w:val="en-US" w:eastAsia="zh-CN" w:bidi="ar-SA"/>
              </w:rPr>
            </w:pPr>
          </w:p>
        </w:tc>
      </w:tr>
      <w:tr w14:paraId="346828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2611B040">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19D7338A">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07D99CE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5F094C48">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565B18F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4C0F97EB">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4BEE13B3">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0921429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111F5F2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2F085B57">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6F611365">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34362508">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323A273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35DB946D">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2E895C6E">
            <w:pPr>
              <w:widowControl w:val="0"/>
              <w:adjustRightInd/>
              <w:snapToGrid/>
              <w:spacing w:after="0"/>
              <w:jc w:val="center"/>
              <w:rPr>
                <w:rFonts w:ascii="Times New Roman" w:hAnsi="Times New Roman" w:eastAsia="仿宋_GB2312"/>
                <w:kern w:val="2"/>
                <w:sz w:val="24"/>
                <w:szCs w:val="24"/>
              </w:rPr>
            </w:pPr>
          </w:p>
        </w:tc>
      </w:tr>
      <w:tr w14:paraId="504FCB1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4CA40D7F">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0654CAB2">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56A67E3F">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668FCD39">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5C65D824">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64F43D06">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7312607F">
            <w:pPr>
              <w:widowControl w:val="0"/>
              <w:adjustRightInd/>
              <w:snapToGrid/>
              <w:spacing w:after="0"/>
              <w:jc w:val="center"/>
              <w:rPr>
                <w:rFonts w:ascii="Times New Roman" w:hAnsi="Times New Roman" w:eastAsia="仿宋_GB2312"/>
                <w:kern w:val="2"/>
                <w:sz w:val="24"/>
                <w:szCs w:val="24"/>
              </w:rPr>
            </w:pPr>
          </w:p>
        </w:tc>
      </w:tr>
      <w:tr w14:paraId="07E5E7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74903992">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37FBEC9A">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4BA7DB6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236CDC05">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686339C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1BE76B22">
            <w:pPr>
              <w:widowControl w:val="0"/>
              <w:adjustRightInd/>
              <w:snapToGrid/>
              <w:spacing w:after="0"/>
              <w:jc w:val="center"/>
              <w:rPr>
                <w:rFonts w:hint="eastAsia" w:ascii="Times New Roman" w:hAnsi="Times New Roman" w:eastAsia="仿宋_GB2312"/>
                <w:kern w:val="2"/>
                <w:sz w:val="24"/>
                <w:szCs w:val="24"/>
              </w:rPr>
            </w:pPr>
          </w:p>
        </w:tc>
      </w:tr>
      <w:tr w14:paraId="13431DC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7A923FDF">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7EF81AD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745DE861">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35320424"/>
          <w:p w14:paraId="0B08E7B6">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6F1B93EC">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6747E7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7CF866A8">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1BBC438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1E4FEA8C">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57549730">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10D0EB9A">
            <w:pPr>
              <w:widowControl w:val="0"/>
              <w:adjustRightInd/>
              <w:snapToGrid/>
              <w:spacing w:after="0"/>
              <w:jc w:val="center"/>
              <w:rPr>
                <w:rFonts w:ascii="Times New Roman" w:hAnsi="Times New Roman" w:eastAsia="仿宋_GB2312"/>
                <w:kern w:val="2"/>
                <w:sz w:val="24"/>
                <w:szCs w:val="24"/>
              </w:rPr>
            </w:pPr>
          </w:p>
        </w:tc>
      </w:tr>
      <w:tr w14:paraId="6AAE143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762C7FC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69A1AF6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214CCCF8">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7F2B312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4DCE7A42">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663235E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01134CB5">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4AC647A4">
            <w:pPr>
              <w:widowControl w:val="0"/>
              <w:adjustRightInd/>
              <w:snapToGrid/>
              <w:spacing w:after="0"/>
              <w:jc w:val="center"/>
              <w:rPr>
                <w:rFonts w:hint="eastAsia" w:ascii="Times New Roman" w:hAnsi="Times New Roman" w:eastAsia="仿宋_GB2312"/>
                <w:kern w:val="2"/>
                <w:sz w:val="24"/>
                <w:szCs w:val="24"/>
              </w:rPr>
            </w:pPr>
          </w:p>
        </w:tc>
      </w:tr>
      <w:tr w14:paraId="66E090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41225D21">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66452EC6">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2A9A158D">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6EDAC2E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47F4A58B">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6045778E">
            <w:pPr>
              <w:widowControl w:val="0"/>
              <w:adjustRightInd/>
              <w:snapToGrid/>
              <w:spacing w:after="0"/>
              <w:jc w:val="both"/>
              <w:rPr>
                <w:rFonts w:ascii="Times New Roman" w:hAnsi="Times New Roman" w:eastAsia="仿宋_GB2312"/>
                <w:kern w:val="2"/>
                <w:position w:val="-34"/>
                <w:sz w:val="24"/>
                <w:szCs w:val="21"/>
              </w:rPr>
            </w:pPr>
          </w:p>
        </w:tc>
      </w:tr>
    </w:tbl>
    <w:p w14:paraId="3DDF67C6"/>
    <w:p w14:paraId="79C77D53">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00041D1">
      <w:pPr>
        <w:jc w:val="center"/>
        <w:rPr>
          <w:rFonts w:hint="eastAsia" w:ascii="黑体" w:hAnsi="黑体" w:eastAsia="黑体" w:cs="黑体"/>
          <w:sz w:val="32"/>
          <w:szCs w:val="40"/>
          <w:lang w:val="en-US" w:eastAsia="zh-CN"/>
        </w:rPr>
      </w:pPr>
    </w:p>
    <w:p w14:paraId="2A726C95">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4E927899">
      <w:pPr>
        <w:rPr>
          <w:rFonts w:hint="eastAsia" w:eastAsia="宋体"/>
          <w:lang w:eastAsia="zh-CN"/>
        </w:rPr>
      </w:pPr>
    </w:p>
    <w:p w14:paraId="4EAFAE4F">
      <w:pPr>
        <w:rPr>
          <w:rFonts w:hint="eastAsia" w:eastAsia="宋体"/>
          <w:lang w:eastAsia="zh-CN"/>
        </w:rPr>
      </w:pPr>
    </w:p>
    <w:p w14:paraId="3501B20F">
      <w:pPr>
        <w:jc w:val="both"/>
        <w:rPr>
          <w:rFonts w:hint="eastAsia" w:ascii="黑体" w:hAnsi="黑体" w:eastAsia="黑体" w:cs="黑体"/>
          <w:sz w:val="32"/>
          <w:szCs w:val="32"/>
          <w:lang w:eastAsia="zh-CN"/>
        </w:rPr>
      </w:pPr>
    </w:p>
    <w:p w14:paraId="129EB7F5">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7EEB0C67">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7EEB0C67">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1065B96">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3729355</wp:posOffset>
                </wp:positionH>
                <wp:positionV relativeFrom="paragraph">
                  <wp:posOffset>95885</wp:posOffset>
                </wp:positionV>
                <wp:extent cx="1668145" cy="791210"/>
                <wp:effectExtent l="4445" t="4445" r="19050" b="1206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1A68F533">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自然资源主管部门意见</w:t>
                            </w:r>
                            <w:r>
                              <w:rPr>
                                <w:rFonts w:hint="default" w:ascii="仿宋_GB2312" w:hAnsi="仿宋_GB2312" w:eastAsia="仿宋_GB2312" w:cs="仿宋_GB2312"/>
                                <w:sz w:val="24"/>
                                <w:szCs w:val="24"/>
                                <w:lang w:val="en" w:eastAsia="zh-CN"/>
                              </w:rPr>
                              <w:t>及其他有关部门意见</w:t>
                            </w:r>
                          </w:p>
                          <w:p w14:paraId="2E82243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3.65pt;margin-top:7.55pt;height:62.3pt;width:131.35pt;z-index:251661312;mso-width-relative:page;mso-height-relative:page;" fillcolor="#FFFFFF" filled="t" stroked="t" coordsize="21600,21600" o:gfxdata="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9+k2+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1A68F533">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自然资源主管部门意见</w:t>
                      </w:r>
                      <w:r>
                        <w:rPr>
                          <w:rFonts w:hint="default" w:ascii="仿宋_GB2312" w:hAnsi="仿宋_GB2312" w:eastAsia="仿宋_GB2312" w:cs="仿宋_GB2312"/>
                          <w:sz w:val="24"/>
                          <w:szCs w:val="24"/>
                          <w:lang w:val="en" w:eastAsia="zh-CN"/>
                        </w:rPr>
                        <w:t>及其他有关部门意见</w:t>
                      </w:r>
                    </w:p>
                    <w:p w14:paraId="2E82243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049C616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049C616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43DACB5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43DACB5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B92DD6A">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3223260</wp:posOffset>
                </wp:positionH>
                <wp:positionV relativeFrom="paragraph">
                  <wp:posOffset>210185</wp:posOffset>
                </wp:positionV>
                <wp:extent cx="521970" cy="0"/>
                <wp:effectExtent l="0" t="57150" r="11430" b="64770"/>
                <wp:wrapNone/>
                <wp:docPr id="6"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直接箭头连接符 41" o:spid="_x0000_s1026" o:spt="32" type="#_x0000_t32" style="position:absolute;left:0pt;margin-left:253.8pt;margin-top:16.55pt;height:0pt;width:41.1pt;z-index:251684864;mso-width-relative:page;mso-height-relative:page;" filled="f" stroked="t" coordsize="21600,21600" o:gfxdata="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Fcv9NkAAAAJAQAADwAAAAAAAAABACAA&#10;AAAiAAAAZHJzL2Rvd25yZXYueG1sUEsBAhQAFAAAAAgAh07iQH7BPjgMAgAA4g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271C0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271C00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6C115B41">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3500755</wp:posOffset>
                </wp:positionH>
                <wp:positionV relativeFrom="paragraph">
                  <wp:posOffset>-803275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5pt;margin-top:-63.25pt;height:157.45pt;width:13.65pt;rotation:5898240f;z-index:251677696;mso-width-relative:page;mso-height-relative:page;" filled="f" stroked="t" coordsize="21600,21600" o:gfxdata="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Dw8Od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78E113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78E113D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3DC73E6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3DC73E6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8DE56D3">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5243F22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5243F22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B9339C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B9339C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9C5E30E">
      <w:pPr>
        <w:tabs>
          <w:tab w:val="left" w:pos="923"/>
        </w:tabs>
        <w:bidi w:val="0"/>
        <w:jc w:val="left"/>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7B9A07B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E0B837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7B9A07B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E0B837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5DF332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5DF332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636C3A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636C3A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F7B162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F7B162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D238C0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2D238C0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062B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984FB7">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05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aSa4wsoBAACcAwAADgAAAAAAAAABACAAAAAeAQAAZHJzL2Uyb0Rv&#10;Yy54bWxQSwUGAAAAAAYABgBZAQAAWgUAAAAA&#10;">
              <v:fill on="f" focussize="0,0"/>
              <v:stroke on="f"/>
              <v:imagedata o:title=""/>
              <o:lock v:ext="edit" aspectratio="f"/>
              <v:textbox inset="0mm,0mm,0mm,0mm" style="mso-fit-shape-to-text:t;">
                <w:txbxContent>
                  <w:p w14:paraId="33984FB7">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4DD73">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D03A5"/>
    <w:multiLevelType w:val="singleLevel"/>
    <w:tmpl w:val="5AFD03A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DA"/>
    <w:rsid w:val="000C7D98"/>
    <w:rsid w:val="001179BA"/>
    <w:rsid w:val="00143A24"/>
    <w:rsid w:val="00152E3C"/>
    <w:rsid w:val="00173473"/>
    <w:rsid w:val="001B41E8"/>
    <w:rsid w:val="00201CBF"/>
    <w:rsid w:val="00255885"/>
    <w:rsid w:val="00282269"/>
    <w:rsid w:val="004051CC"/>
    <w:rsid w:val="004D31F7"/>
    <w:rsid w:val="004E7DF0"/>
    <w:rsid w:val="005023BB"/>
    <w:rsid w:val="005572F1"/>
    <w:rsid w:val="00575F16"/>
    <w:rsid w:val="005773A5"/>
    <w:rsid w:val="00591BFA"/>
    <w:rsid w:val="005963A7"/>
    <w:rsid w:val="005972AF"/>
    <w:rsid w:val="005D14A8"/>
    <w:rsid w:val="00622A92"/>
    <w:rsid w:val="006C3719"/>
    <w:rsid w:val="007267EB"/>
    <w:rsid w:val="007700B8"/>
    <w:rsid w:val="007B6A7D"/>
    <w:rsid w:val="007C5650"/>
    <w:rsid w:val="007D15A4"/>
    <w:rsid w:val="007E7211"/>
    <w:rsid w:val="00804197"/>
    <w:rsid w:val="00820F05"/>
    <w:rsid w:val="0085562B"/>
    <w:rsid w:val="00883F5B"/>
    <w:rsid w:val="009B568F"/>
    <w:rsid w:val="009C4532"/>
    <w:rsid w:val="00A06680"/>
    <w:rsid w:val="00A23FB3"/>
    <w:rsid w:val="00AB25DA"/>
    <w:rsid w:val="00AE7F35"/>
    <w:rsid w:val="00B04F9E"/>
    <w:rsid w:val="00B07A88"/>
    <w:rsid w:val="00B1486B"/>
    <w:rsid w:val="00BB7D7D"/>
    <w:rsid w:val="00C046D6"/>
    <w:rsid w:val="00CA53BE"/>
    <w:rsid w:val="00D04F47"/>
    <w:rsid w:val="00D16DB8"/>
    <w:rsid w:val="00D2534F"/>
    <w:rsid w:val="00DB5523"/>
    <w:rsid w:val="00DD6688"/>
    <w:rsid w:val="00EA640E"/>
    <w:rsid w:val="00EC356F"/>
    <w:rsid w:val="00F7095D"/>
    <w:rsid w:val="016512E0"/>
    <w:rsid w:val="016D21DD"/>
    <w:rsid w:val="0275261E"/>
    <w:rsid w:val="02981CE1"/>
    <w:rsid w:val="035D010A"/>
    <w:rsid w:val="045136D5"/>
    <w:rsid w:val="04AE711D"/>
    <w:rsid w:val="04BE16A7"/>
    <w:rsid w:val="05292583"/>
    <w:rsid w:val="05B5387A"/>
    <w:rsid w:val="05FE7F53"/>
    <w:rsid w:val="067716B0"/>
    <w:rsid w:val="06796A2D"/>
    <w:rsid w:val="070A1E25"/>
    <w:rsid w:val="070B23AE"/>
    <w:rsid w:val="07CD7839"/>
    <w:rsid w:val="07EB25A1"/>
    <w:rsid w:val="087C340A"/>
    <w:rsid w:val="089303A1"/>
    <w:rsid w:val="08CB3020"/>
    <w:rsid w:val="09444925"/>
    <w:rsid w:val="0971450C"/>
    <w:rsid w:val="0B003C5A"/>
    <w:rsid w:val="0B037581"/>
    <w:rsid w:val="0B8467DF"/>
    <w:rsid w:val="0DBF2001"/>
    <w:rsid w:val="0E0B6422"/>
    <w:rsid w:val="0EE34DE4"/>
    <w:rsid w:val="10A14F7F"/>
    <w:rsid w:val="11176C32"/>
    <w:rsid w:val="11CF2074"/>
    <w:rsid w:val="127F7FE4"/>
    <w:rsid w:val="12CF1A02"/>
    <w:rsid w:val="12FF0F4E"/>
    <w:rsid w:val="13397FA0"/>
    <w:rsid w:val="14EC41F9"/>
    <w:rsid w:val="14F43B2D"/>
    <w:rsid w:val="15B97279"/>
    <w:rsid w:val="15E60653"/>
    <w:rsid w:val="15EB43EC"/>
    <w:rsid w:val="16142A55"/>
    <w:rsid w:val="16392274"/>
    <w:rsid w:val="174D78F6"/>
    <w:rsid w:val="174F3A55"/>
    <w:rsid w:val="17507ED0"/>
    <w:rsid w:val="1769195B"/>
    <w:rsid w:val="19241E94"/>
    <w:rsid w:val="1A053B45"/>
    <w:rsid w:val="1A593D69"/>
    <w:rsid w:val="1AD82A8F"/>
    <w:rsid w:val="1B0303AD"/>
    <w:rsid w:val="1B217600"/>
    <w:rsid w:val="1B851DC4"/>
    <w:rsid w:val="1BD839ED"/>
    <w:rsid w:val="1CE80597"/>
    <w:rsid w:val="1D09044B"/>
    <w:rsid w:val="1D6D4503"/>
    <w:rsid w:val="1DB012B8"/>
    <w:rsid w:val="1E1C7EA9"/>
    <w:rsid w:val="1F173C0E"/>
    <w:rsid w:val="1FBB9A23"/>
    <w:rsid w:val="207A6A48"/>
    <w:rsid w:val="20A4373D"/>
    <w:rsid w:val="20CE78F9"/>
    <w:rsid w:val="210B2A97"/>
    <w:rsid w:val="2131298C"/>
    <w:rsid w:val="234570F8"/>
    <w:rsid w:val="23DF56EB"/>
    <w:rsid w:val="240F6243"/>
    <w:rsid w:val="25C46486"/>
    <w:rsid w:val="263334D9"/>
    <w:rsid w:val="264B6EEE"/>
    <w:rsid w:val="270D25C0"/>
    <w:rsid w:val="2786547E"/>
    <w:rsid w:val="27A12662"/>
    <w:rsid w:val="27F4C758"/>
    <w:rsid w:val="28CD5558"/>
    <w:rsid w:val="29437541"/>
    <w:rsid w:val="295E6616"/>
    <w:rsid w:val="29F1557E"/>
    <w:rsid w:val="2B1B015B"/>
    <w:rsid w:val="2B5C43A0"/>
    <w:rsid w:val="2D880A79"/>
    <w:rsid w:val="2DEA471E"/>
    <w:rsid w:val="2E7C6E72"/>
    <w:rsid w:val="2F9959A7"/>
    <w:rsid w:val="2FA35ADB"/>
    <w:rsid w:val="2FC113A2"/>
    <w:rsid w:val="2FF673E9"/>
    <w:rsid w:val="304946AE"/>
    <w:rsid w:val="312825F0"/>
    <w:rsid w:val="320C13DE"/>
    <w:rsid w:val="3237418D"/>
    <w:rsid w:val="326055EF"/>
    <w:rsid w:val="32625703"/>
    <w:rsid w:val="32923106"/>
    <w:rsid w:val="32ED1980"/>
    <w:rsid w:val="333E19D4"/>
    <w:rsid w:val="33E975A5"/>
    <w:rsid w:val="34340DB2"/>
    <w:rsid w:val="34936715"/>
    <w:rsid w:val="34A05482"/>
    <w:rsid w:val="350F0719"/>
    <w:rsid w:val="381D0A57"/>
    <w:rsid w:val="3864012C"/>
    <w:rsid w:val="38654FCB"/>
    <w:rsid w:val="38EB50B6"/>
    <w:rsid w:val="392A7CB9"/>
    <w:rsid w:val="39453E84"/>
    <w:rsid w:val="39926BCE"/>
    <w:rsid w:val="3A0A2948"/>
    <w:rsid w:val="3A4928AD"/>
    <w:rsid w:val="3AE4749D"/>
    <w:rsid w:val="3B8246B8"/>
    <w:rsid w:val="3BC03C91"/>
    <w:rsid w:val="3F097344"/>
    <w:rsid w:val="3F151B76"/>
    <w:rsid w:val="3F5F3D3A"/>
    <w:rsid w:val="3F665C81"/>
    <w:rsid w:val="3FB41ACE"/>
    <w:rsid w:val="3FFCC952"/>
    <w:rsid w:val="409B6B59"/>
    <w:rsid w:val="40D71FF3"/>
    <w:rsid w:val="41463B5D"/>
    <w:rsid w:val="42232A02"/>
    <w:rsid w:val="42597FD6"/>
    <w:rsid w:val="427D6818"/>
    <w:rsid w:val="429A38FF"/>
    <w:rsid w:val="42D01D93"/>
    <w:rsid w:val="435F4229"/>
    <w:rsid w:val="4377677A"/>
    <w:rsid w:val="44392570"/>
    <w:rsid w:val="444C2806"/>
    <w:rsid w:val="44FA0C17"/>
    <w:rsid w:val="45500D7D"/>
    <w:rsid w:val="45E2470E"/>
    <w:rsid w:val="465A485C"/>
    <w:rsid w:val="46602945"/>
    <w:rsid w:val="46D24A27"/>
    <w:rsid w:val="473F3E3F"/>
    <w:rsid w:val="475528E3"/>
    <w:rsid w:val="47ED7322"/>
    <w:rsid w:val="49425166"/>
    <w:rsid w:val="49791413"/>
    <w:rsid w:val="4B1067E7"/>
    <w:rsid w:val="4B1B44EC"/>
    <w:rsid w:val="4B8D67D6"/>
    <w:rsid w:val="4C0B3F0F"/>
    <w:rsid w:val="4CBE69E6"/>
    <w:rsid w:val="4CEE3778"/>
    <w:rsid w:val="4D21011D"/>
    <w:rsid w:val="4D334AE6"/>
    <w:rsid w:val="4D940046"/>
    <w:rsid w:val="4DD60AE9"/>
    <w:rsid w:val="4E4A3003"/>
    <w:rsid w:val="4E9F361B"/>
    <w:rsid w:val="4EE900C9"/>
    <w:rsid w:val="4EFC3DD2"/>
    <w:rsid w:val="4F937615"/>
    <w:rsid w:val="4FD38C3B"/>
    <w:rsid w:val="504F43DC"/>
    <w:rsid w:val="513D2675"/>
    <w:rsid w:val="52150CE8"/>
    <w:rsid w:val="522A3125"/>
    <w:rsid w:val="522D422B"/>
    <w:rsid w:val="53684FB5"/>
    <w:rsid w:val="536F1F5F"/>
    <w:rsid w:val="54C40902"/>
    <w:rsid w:val="54FA224A"/>
    <w:rsid w:val="55CB317D"/>
    <w:rsid w:val="55FEC514"/>
    <w:rsid w:val="565A2D6F"/>
    <w:rsid w:val="56A06F70"/>
    <w:rsid w:val="56DF782A"/>
    <w:rsid w:val="56FD7377"/>
    <w:rsid w:val="570472DD"/>
    <w:rsid w:val="57335496"/>
    <w:rsid w:val="59A13D15"/>
    <w:rsid w:val="5A2033D8"/>
    <w:rsid w:val="5A6047BE"/>
    <w:rsid w:val="5AE4292D"/>
    <w:rsid w:val="5B035BAF"/>
    <w:rsid w:val="5B1D3D8B"/>
    <w:rsid w:val="5B9111C9"/>
    <w:rsid w:val="5BB72FCE"/>
    <w:rsid w:val="5BDA62BC"/>
    <w:rsid w:val="5C781FC6"/>
    <w:rsid w:val="5CDD14ED"/>
    <w:rsid w:val="5D2E6FEF"/>
    <w:rsid w:val="5D6F7A58"/>
    <w:rsid w:val="5DA76BFD"/>
    <w:rsid w:val="5DC50992"/>
    <w:rsid w:val="5E3F2591"/>
    <w:rsid w:val="5E7670C7"/>
    <w:rsid w:val="5E8206AC"/>
    <w:rsid w:val="5EDB6EBB"/>
    <w:rsid w:val="5F354855"/>
    <w:rsid w:val="5FD74DDA"/>
    <w:rsid w:val="5FDFAD5D"/>
    <w:rsid w:val="5FFB39DC"/>
    <w:rsid w:val="603E0A66"/>
    <w:rsid w:val="60523DE8"/>
    <w:rsid w:val="60E3123E"/>
    <w:rsid w:val="61404A24"/>
    <w:rsid w:val="623C1C42"/>
    <w:rsid w:val="62566454"/>
    <w:rsid w:val="62976EF5"/>
    <w:rsid w:val="632356CD"/>
    <w:rsid w:val="63850915"/>
    <w:rsid w:val="65B86F93"/>
    <w:rsid w:val="65EF15C3"/>
    <w:rsid w:val="65F42C5B"/>
    <w:rsid w:val="67410FCC"/>
    <w:rsid w:val="67C25449"/>
    <w:rsid w:val="68DF0E9B"/>
    <w:rsid w:val="68ED6245"/>
    <w:rsid w:val="69136070"/>
    <w:rsid w:val="69755CDF"/>
    <w:rsid w:val="69D15C3E"/>
    <w:rsid w:val="69F63BC7"/>
    <w:rsid w:val="6A574B32"/>
    <w:rsid w:val="6A6E3060"/>
    <w:rsid w:val="6B9C7DC0"/>
    <w:rsid w:val="6BAA09D6"/>
    <w:rsid w:val="6BFF7A91"/>
    <w:rsid w:val="6C082C4F"/>
    <w:rsid w:val="6C0C05F3"/>
    <w:rsid w:val="6C5855C4"/>
    <w:rsid w:val="6C741F10"/>
    <w:rsid w:val="6D260503"/>
    <w:rsid w:val="6DB63A7F"/>
    <w:rsid w:val="6E6F2E9A"/>
    <w:rsid w:val="6F333FFC"/>
    <w:rsid w:val="6FEE70BD"/>
    <w:rsid w:val="713E0215"/>
    <w:rsid w:val="71785E9E"/>
    <w:rsid w:val="727B6080"/>
    <w:rsid w:val="73847DDB"/>
    <w:rsid w:val="74690575"/>
    <w:rsid w:val="74B453E8"/>
    <w:rsid w:val="751458D7"/>
    <w:rsid w:val="75BF5C82"/>
    <w:rsid w:val="76192701"/>
    <w:rsid w:val="766542BF"/>
    <w:rsid w:val="76BD5769"/>
    <w:rsid w:val="77441DB6"/>
    <w:rsid w:val="77A12B06"/>
    <w:rsid w:val="77B215BD"/>
    <w:rsid w:val="77FEC4FB"/>
    <w:rsid w:val="77FF8CA0"/>
    <w:rsid w:val="784B19A6"/>
    <w:rsid w:val="78CB7208"/>
    <w:rsid w:val="7AA95A37"/>
    <w:rsid w:val="7AC61A02"/>
    <w:rsid w:val="7AF23FEE"/>
    <w:rsid w:val="7BE2241D"/>
    <w:rsid w:val="7CAE5A9D"/>
    <w:rsid w:val="7DFF37E4"/>
    <w:rsid w:val="7EB536A8"/>
    <w:rsid w:val="7EFF0FDB"/>
    <w:rsid w:val="7EFFD2D2"/>
    <w:rsid w:val="7F4616B2"/>
    <w:rsid w:val="7F7D80B6"/>
    <w:rsid w:val="7FAF2970"/>
    <w:rsid w:val="7FEA5CE1"/>
    <w:rsid w:val="7FF27864"/>
    <w:rsid w:val="977D8F75"/>
    <w:rsid w:val="9FFBD1E0"/>
    <w:rsid w:val="B5ED2532"/>
    <w:rsid w:val="B9EDFDD0"/>
    <w:rsid w:val="BA7D180C"/>
    <w:rsid w:val="BB8E67B9"/>
    <w:rsid w:val="BEF750EA"/>
    <w:rsid w:val="BFF1C956"/>
    <w:rsid w:val="DE6F32D0"/>
    <w:rsid w:val="DEFF6837"/>
    <w:rsid w:val="DF5E53FE"/>
    <w:rsid w:val="DF7B62F7"/>
    <w:rsid w:val="DFE2AA9D"/>
    <w:rsid w:val="E533A3B9"/>
    <w:rsid w:val="E6FAAA50"/>
    <w:rsid w:val="EE7FE39E"/>
    <w:rsid w:val="EFE26CBF"/>
    <w:rsid w:val="F7EFE434"/>
    <w:rsid w:val="FB6EE1CF"/>
    <w:rsid w:val="FBC901AF"/>
    <w:rsid w:val="FE7B1EA2"/>
    <w:rsid w:val="FF5C52FD"/>
    <w:rsid w:val="FFEFC6A2"/>
    <w:rsid w:val="FFFE4AD6"/>
    <w:rsid w:val="FFFE78DD"/>
    <w:rsid w:val="FFFE9F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link w:val="11"/>
    <w:unhideWhenUsed/>
    <w:qFormat/>
    <w:uiPriority w:val="99"/>
    <w:rPr>
      <w:kern w:val="0"/>
      <w:sz w:val="18"/>
      <w:szCs w:val="18"/>
    </w:rPr>
  </w:style>
  <w:style w:type="paragraph" w:styleId="5">
    <w:name w:val="footer"/>
    <w:basedOn w:val="1"/>
    <w:link w:val="12"/>
    <w:unhideWhenUsed/>
    <w:qFormat/>
    <w:uiPriority w:val="99"/>
    <w:pPr>
      <w:tabs>
        <w:tab w:val="center" w:pos="4153"/>
        <w:tab w:val="right" w:pos="8306"/>
      </w:tabs>
      <w:snapToGrid w:val="0"/>
      <w:jc w:val="left"/>
    </w:pPr>
    <w:rPr>
      <w:kern w:val="0"/>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styleId="9">
    <w:name w:val="page number"/>
    <w:basedOn w:val="8"/>
    <w:qFormat/>
    <w:uiPriority w:val="0"/>
  </w:style>
  <w:style w:type="character" w:styleId="10">
    <w:name w:val="Hyperlink"/>
    <w:qFormat/>
    <w:uiPriority w:val="99"/>
    <w:rPr>
      <w:color w:val="0000FF"/>
      <w:u w:val="single"/>
    </w:rPr>
  </w:style>
  <w:style w:type="character" w:customStyle="1" w:styleId="11">
    <w:name w:val="批注框文本 字符"/>
    <w:link w:val="4"/>
    <w:semiHidden/>
    <w:qFormat/>
    <w:uiPriority w:val="99"/>
    <w:rPr>
      <w:rFonts w:ascii="Times New Roman" w:hAnsi="Times New Roman" w:eastAsia="宋体" w:cs="Times New Roman"/>
      <w:sz w:val="18"/>
      <w:szCs w:val="18"/>
    </w:rPr>
  </w:style>
  <w:style w:type="character" w:customStyle="1" w:styleId="12">
    <w:name w:val="页脚 字符"/>
    <w:link w:val="5"/>
    <w:qFormat/>
    <w:uiPriority w:val="99"/>
    <w:rPr>
      <w:rFonts w:ascii="Times New Roman" w:hAnsi="Times New Roman" w:eastAsia="宋体" w:cs="Times New Roman"/>
      <w:sz w:val="18"/>
      <w:szCs w:val="18"/>
    </w:rPr>
  </w:style>
  <w:style w:type="character" w:customStyle="1" w:styleId="13">
    <w:name w:val="页眉 字符"/>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Lenovo</Company>
  <Pages>17</Pages>
  <Words>6180</Words>
  <Characters>6546</Characters>
  <Lines>49</Lines>
  <Paragraphs>13</Paragraphs>
  <TotalTime>0</TotalTime>
  <ScaleCrop>false</ScaleCrop>
  <LinksUpToDate>false</LinksUpToDate>
  <CharactersWithSpaces>6896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2020-05-05T22:17:00Z</dcterms:created>
  <dc:creator>于洪奇(返回拟稿人)</dc:creator>
  <cp:lastModifiedBy>李鑫</cp:lastModifiedBy>
  <cp:lastPrinted>2025-07-31T18:25:00Z</cp:lastPrinted>
  <dcterms:modified xsi:type="dcterms:W3CDTF">2025-09-30T01:39:11Z</dcterms:modified>
  <dc:title>采矿权注销登记（非油气类）服务指南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A04D9466552E4063BFECFD3DAB79585A_13</vt:lpwstr>
  </property>
  <property fmtid="{D5CDD505-2E9C-101B-9397-08002B2CF9AE}" pid="4" name="KSOTemplateDocerSaveRecord">
    <vt:lpwstr>eyJoZGlkIjoiZWU4YjU4YjgyZWFmMGE3NmE0YzI1ZjJjZGNiY2ZiYzUiLCJ1c2VySWQiOiI1MDM1NjEyMjUifQ==</vt:lpwstr>
  </property>
</Properties>
</file>